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77777777" w:rsidR="00A962A5" w:rsidRPr="00B00E16" w:rsidRDefault="00A962A5" w:rsidP="00184E48">
            <w:pPr>
              <w:rPr>
                <w:highlight w:val="cyan"/>
              </w:rPr>
            </w:pPr>
            <w:r>
              <w:rPr>
                <w:highlight w:val="cyan"/>
              </w:rPr>
              <w:t>1.0 Onderwijs</w:t>
            </w:r>
          </w:p>
        </w:tc>
      </w:tr>
      <w:tr w:rsidR="00A962A5" w:rsidRPr="00B00E16" w14:paraId="018B85DC" w14:textId="77777777" w:rsidTr="00184E48">
        <w:trPr>
          <w:trHeight w:val="20"/>
        </w:trPr>
        <w:tc>
          <w:tcPr>
            <w:tcW w:w="2127" w:type="dxa"/>
          </w:tcPr>
          <w:p w14:paraId="0E8E9D68" w14:textId="77777777" w:rsidR="00A962A5" w:rsidRPr="00B00E16" w:rsidRDefault="00A962A5" w:rsidP="00184E48">
            <w:pPr>
              <w:rPr>
                <w:b/>
                <w:bCs/>
                <w:color w:val="004B7D"/>
              </w:rPr>
            </w:pPr>
            <w:r w:rsidRPr="00B00E16">
              <w:rPr>
                <w:b/>
                <w:bCs/>
                <w:color w:val="004B7D"/>
              </w:rPr>
              <w:t>Auteurs</w:t>
            </w:r>
          </w:p>
        </w:tc>
        <w:tc>
          <w:tcPr>
            <w:tcW w:w="6945" w:type="dxa"/>
          </w:tcPr>
          <w:p w14:paraId="10394EAA" w14:textId="3FAFE5F8" w:rsidR="00A962A5" w:rsidRPr="00B00E16" w:rsidRDefault="00A962A5" w:rsidP="00184E48">
            <w:r w:rsidRPr="00B00E16">
              <w:t>S</w:t>
            </w:r>
            <w:r>
              <w:t xml:space="preserve">tijn </w:t>
            </w:r>
            <w:r w:rsidRPr="00B00E16">
              <w:t>Sarneel</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2306A17F" w:rsidR="00A962A5" w:rsidRPr="00B00E16" w:rsidRDefault="00A962A5" w:rsidP="00184E48">
            <w:r w:rsidRPr="00B00E16">
              <w:fldChar w:fldCharType="begin"/>
            </w:r>
            <w:r w:rsidRPr="00B00E16">
              <w:instrText xml:space="preserve"> TIME \@ "d MMMM yyyy" </w:instrText>
            </w:r>
            <w:r w:rsidRPr="00B00E16">
              <w:fldChar w:fldCharType="separate"/>
            </w:r>
            <w:r w:rsidR="0080235D">
              <w:rPr>
                <w:noProof/>
              </w:rPr>
              <w:t>26 januari 2021</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6C60497F" w14:textId="77777777" w:rsidR="00F57175" w:rsidRPr="00277D76" w:rsidRDefault="00A962A5" w:rsidP="00F57175">
      <w:pPr>
        <w:pStyle w:val="Koptekst"/>
        <w:spacing w:line="276" w:lineRule="auto"/>
        <w:rPr>
          <w:rFonts w:cstheme="minorHAnsi"/>
          <w:b/>
          <w:bCs/>
          <w:color w:val="004B7D"/>
          <w:sz w:val="28"/>
          <w:szCs w:val="28"/>
        </w:rPr>
      </w:pPr>
      <w:r>
        <w:rPr>
          <w:sz w:val="48"/>
          <w:szCs w:val="48"/>
        </w:rPr>
        <w:br w:type="page"/>
      </w:r>
      <w:r w:rsidR="00F57175" w:rsidRPr="00277D76">
        <w:rPr>
          <w:rFonts w:cstheme="minorHAnsi"/>
          <w:b/>
          <w:bCs/>
          <w:color w:val="004B7D"/>
          <w:sz w:val="28"/>
          <w:szCs w:val="28"/>
        </w:rPr>
        <w:lastRenderedPageBreak/>
        <w:t>Voorwoord Lumen Group</w:t>
      </w:r>
    </w:p>
    <w:p w14:paraId="44F07DC1" w14:textId="0840931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Een verwerkingsverantwoordelijke is verplicht een </w:t>
      </w:r>
      <w:r>
        <w:rPr>
          <w:rFonts w:ascii="Calibri" w:eastAsia="Calibri" w:hAnsi="Calibri" w:cs="Times New Roman"/>
        </w:rPr>
        <w:t>beleid</w:t>
      </w:r>
      <w:r w:rsidRPr="006E5687">
        <w:rPr>
          <w:rFonts w:ascii="Calibri" w:eastAsia="Calibri" w:hAnsi="Calibri" w:cs="Times New Roman"/>
        </w:rPr>
        <w:t xml:space="preserve"> te hebben</w:t>
      </w:r>
      <w:r w:rsidR="0021052A">
        <w:rPr>
          <w:rFonts w:ascii="Calibri" w:eastAsia="Calibri" w:hAnsi="Calibri" w:cs="Times New Roman"/>
        </w:rPr>
        <w:t xml:space="preserve"> voor het bewaren en vernietigen van persoonsgegevens</w:t>
      </w:r>
      <w:r w:rsidRPr="006E5687">
        <w:rPr>
          <w:rFonts w:ascii="Calibri" w:eastAsia="Calibri" w:hAnsi="Calibri" w:cs="Times New Roman"/>
        </w:rPr>
        <w:t xml:space="preserve"> en in dat kader maatregelen toe te passen om te voldoen aan (privacy)wet- en regelgeving, en in sommige gevallen ook aan contractuele bepalingen. Het is vereist dat de organisatie rekening houdt met de aard, omvang, context en het doel van de verwerkingen binnen de organisatie. Het is de verplichting van de verwerkingsverantwoordelijke om te waarborgen én aan te tonen dat zij persoonsgegevens verwerkt in overeenstemming met de AVG. </w:t>
      </w:r>
    </w:p>
    <w:p w14:paraId="59152F40" w14:textId="77777777" w:rsidR="00F57175" w:rsidRPr="006E5687" w:rsidRDefault="00F57175" w:rsidP="00F57175">
      <w:pPr>
        <w:jc w:val="both"/>
        <w:rPr>
          <w:rFonts w:ascii="Calibri" w:eastAsia="Calibri" w:hAnsi="Calibri" w:cs="Times New Roman"/>
        </w:rPr>
      </w:pPr>
    </w:p>
    <w:p w14:paraId="1CC297CC" w14:textId="79886C68"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Voor organisaties </w:t>
      </w:r>
      <w:r w:rsidR="0021052A">
        <w:rPr>
          <w:rFonts w:ascii="Calibri" w:eastAsia="Calibri" w:hAnsi="Calibri" w:cs="Times New Roman"/>
        </w:rPr>
        <w:t>vormt het verwerken van persoonsgegevens een substantieel onderdeel van de bedrijfsvoering</w:t>
      </w:r>
      <w:r w:rsidRPr="006E5687">
        <w:rPr>
          <w:rFonts w:ascii="Calibri" w:eastAsia="Calibri" w:hAnsi="Calibri" w:cs="Times New Roman"/>
        </w:rPr>
        <w:t>.</w:t>
      </w:r>
      <w:r w:rsidR="0021052A">
        <w:rPr>
          <w:rFonts w:ascii="Calibri" w:eastAsia="Calibri" w:hAnsi="Calibri" w:cs="Times New Roman"/>
        </w:rPr>
        <w:t xml:space="preserve"> </w:t>
      </w:r>
      <w:r w:rsidR="0021052A" w:rsidRPr="0021052A">
        <w:rPr>
          <w:rFonts w:ascii="Calibri" w:eastAsia="Calibri" w:hAnsi="Calibri" w:cs="Times New Roman"/>
        </w:rPr>
        <w:t>Onder verwerking van persoonsgegevens valt onder andere te verstaan het verzamelen, vastleggen, bewaren, raadplegen, gebruiken en zelfs het vernietigen of wissen van deze persoonsgegevens</w:t>
      </w:r>
      <w:r w:rsidR="0021052A">
        <w:rPr>
          <w:rFonts w:ascii="Calibri" w:eastAsia="Calibri" w:hAnsi="Calibri" w:cs="Times New Roman"/>
        </w:rPr>
        <w:t xml:space="preserve">. </w:t>
      </w:r>
      <w:r w:rsidRPr="006E5687">
        <w:rPr>
          <w:rFonts w:ascii="Calibri" w:eastAsia="Calibri" w:hAnsi="Calibri" w:cs="Times New Roman"/>
        </w:rPr>
        <w:t xml:space="preserve"> In dat kader is het een organisatie verplicht </w:t>
      </w:r>
      <w:r w:rsidR="0021052A">
        <w:rPr>
          <w:rFonts w:ascii="Calibri" w:eastAsia="Calibri" w:hAnsi="Calibri" w:cs="Times New Roman"/>
        </w:rPr>
        <w:t>om een</w:t>
      </w:r>
      <w:r w:rsidRPr="006E5687">
        <w:rPr>
          <w:rFonts w:ascii="Calibri" w:eastAsia="Calibri" w:hAnsi="Calibri" w:cs="Times New Roman"/>
        </w:rPr>
        <w:t xml:space="preserve"> </w:t>
      </w:r>
      <w:r w:rsidR="0021052A">
        <w:rPr>
          <w:rFonts w:ascii="Calibri" w:eastAsia="Calibri" w:hAnsi="Calibri" w:cs="Times New Roman"/>
        </w:rPr>
        <w:t>beleid</w:t>
      </w:r>
      <w:r w:rsidRPr="006E5687">
        <w:rPr>
          <w:rFonts w:ascii="Calibri" w:eastAsia="Calibri" w:hAnsi="Calibri" w:cs="Times New Roman"/>
        </w:rPr>
        <w:t xml:space="preserve"> te voeren en te hanteren </w:t>
      </w:r>
      <w:r w:rsidR="0021052A">
        <w:rPr>
          <w:rFonts w:ascii="Calibri" w:eastAsia="Calibri" w:hAnsi="Calibri" w:cs="Times New Roman"/>
        </w:rPr>
        <w:t>dat toeziet op de vaststelling van bewaartermijnen ten aanzien van bewaarde persoonsgegevens en de vernietiging van deze gegevens na het verstrijken van de bewaartermijnen</w:t>
      </w:r>
      <w:r w:rsidRPr="006E5687">
        <w:rPr>
          <w:rFonts w:ascii="Calibri" w:eastAsia="Calibri" w:hAnsi="Calibri" w:cs="Times New Roman"/>
        </w:rPr>
        <w:t>. In het kader hiervan heeft Lumen Group een template ontwikkeld.</w:t>
      </w:r>
    </w:p>
    <w:p w14:paraId="70463603" w14:textId="77777777" w:rsidR="00F57175" w:rsidRPr="00277D76" w:rsidRDefault="00F57175" w:rsidP="00F57175">
      <w:pPr>
        <w:jc w:val="both"/>
        <w:rPr>
          <w:rFonts w:ascii="Calibri" w:eastAsia="Calibri" w:hAnsi="Calibri" w:cs="Times New Roman"/>
          <w:color w:val="004B7D"/>
        </w:rPr>
      </w:pPr>
    </w:p>
    <w:p w14:paraId="5093072D" w14:textId="77777777" w:rsidR="00F57175" w:rsidRPr="00277D76" w:rsidRDefault="00F57175" w:rsidP="00F57175">
      <w:pPr>
        <w:jc w:val="both"/>
        <w:rPr>
          <w:rFonts w:cstheme="minorHAnsi"/>
          <w:b/>
          <w:bCs/>
          <w:color w:val="004B7D"/>
          <w:sz w:val="28"/>
          <w:szCs w:val="28"/>
        </w:rPr>
      </w:pPr>
      <w:r w:rsidRPr="00277D76">
        <w:rPr>
          <w:rFonts w:cstheme="minorHAnsi"/>
          <w:b/>
          <w:bCs/>
          <w:color w:val="004B7D"/>
          <w:sz w:val="28"/>
          <w:szCs w:val="28"/>
        </w:rPr>
        <w:t>Toelichting template</w:t>
      </w:r>
    </w:p>
    <w:p w14:paraId="33872D61" w14:textId="22646A6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Dit template bevat de wettelijke vereisten die gesteld zijn in de AVG ten opzichte van een </w:t>
      </w:r>
      <w:r w:rsidR="0021052A">
        <w:rPr>
          <w:rFonts w:ascii="Calibri" w:eastAsia="Calibri" w:hAnsi="Calibri" w:cs="Times New Roman"/>
        </w:rPr>
        <w:t>bewaar- en vernietigingsbeleid</w:t>
      </w:r>
      <w:r w:rsidRPr="006E5687">
        <w:rPr>
          <w:rFonts w:ascii="Calibri" w:eastAsia="Calibri" w:hAnsi="Calibri" w:cs="Times New Roman"/>
        </w:rPr>
        <w:t xml:space="preserve">. Ook hebben wij de tips en adviezen van de Autoriteit Persoonsgegevens meegenomen in het opstellen van dit template. Het template is gedeeltelijk gebruiksklaar, echter de passages zijn organisatie-neutraal geformuleerd. In </w:t>
      </w:r>
      <w:r w:rsidRPr="006E5687">
        <w:rPr>
          <w:rFonts w:ascii="Calibri" w:eastAsia="Calibri" w:hAnsi="Calibri" w:cs="Times New Roman"/>
          <w:highlight w:val="yellow"/>
        </w:rPr>
        <w:t>geel</w:t>
      </w:r>
      <w:r w:rsidRPr="006E5687">
        <w:rPr>
          <w:rFonts w:ascii="Calibri" w:eastAsia="Calibri" w:hAnsi="Calibri" w:cs="Times New Roman"/>
        </w:rPr>
        <w:t xml:space="preserve"> is gearceerd waar aanvulling vereist is, om het </w:t>
      </w:r>
      <w:r w:rsidR="0021052A">
        <w:rPr>
          <w:rFonts w:ascii="Calibri" w:eastAsia="Calibri" w:hAnsi="Calibri" w:cs="Times New Roman"/>
        </w:rPr>
        <w:t>bewaar- en vernietigingsbeleid</w:t>
      </w:r>
      <w:r w:rsidRPr="006E5687">
        <w:rPr>
          <w:rFonts w:ascii="Calibri" w:eastAsia="Calibri" w:hAnsi="Calibri" w:cs="Times New Roman"/>
        </w:rPr>
        <w:t xml:space="preserve"> te specificeren.</w:t>
      </w:r>
    </w:p>
    <w:p w14:paraId="63E4A885" w14:textId="77777777" w:rsidR="00F57175" w:rsidRPr="006E5687" w:rsidRDefault="00F57175" w:rsidP="00F57175">
      <w:pPr>
        <w:jc w:val="both"/>
        <w:rPr>
          <w:rFonts w:ascii="Calibri" w:eastAsia="Calibri" w:hAnsi="Calibri" w:cs="Times New Roman"/>
        </w:rPr>
      </w:pPr>
    </w:p>
    <w:p w14:paraId="5621DEB1" w14:textId="44C997E1" w:rsidR="00F57175" w:rsidRPr="006E5687" w:rsidRDefault="00F57175" w:rsidP="00F57175">
      <w:pPr>
        <w:jc w:val="both"/>
        <w:rPr>
          <w:rFonts w:cstheme="minorHAnsi"/>
          <w:sz w:val="32"/>
          <w:szCs w:val="32"/>
        </w:rPr>
      </w:pPr>
      <w:r w:rsidRPr="006E5687">
        <w:rPr>
          <w:rFonts w:ascii="Calibri" w:eastAsia="Calibri" w:hAnsi="Calibri" w:cs="Times New Roman"/>
        </w:rPr>
        <w:t xml:space="preserve">Daarnaast bestaan er een </w:t>
      </w:r>
      <w:r w:rsidR="006105B0">
        <w:rPr>
          <w:rFonts w:ascii="Calibri" w:eastAsia="Calibri" w:hAnsi="Calibri" w:cs="Times New Roman"/>
        </w:rPr>
        <w:t>vijftal</w:t>
      </w:r>
      <w:r w:rsidRPr="006E5687">
        <w:rPr>
          <w:rFonts w:ascii="Calibri" w:eastAsia="Calibri" w:hAnsi="Calibri" w:cs="Times New Roman"/>
        </w:rPr>
        <w:t xml:space="preserve"> bijlages, welke ook voor de organisatie gespecificeerd dient te worden. Deze zijn dus nog </w:t>
      </w:r>
      <w:r w:rsidRPr="006E5687">
        <w:rPr>
          <w:rFonts w:ascii="Calibri" w:eastAsia="Calibri" w:hAnsi="Calibri" w:cs="Times New Roman"/>
          <w:b/>
          <w:bCs/>
          <w:u w:val="single"/>
        </w:rPr>
        <w:t>niet</w:t>
      </w:r>
      <w:r w:rsidRPr="006E5687">
        <w:rPr>
          <w:rFonts w:ascii="Calibri" w:eastAsia="Calibri" w:hAnsi="Calibri" w:cs="Times New Roman"/>
        </w:rPr>
        <w:t xml:space="preserve"> volledig, maar bieden een goede aanzet. </w:t>
      </w:r>
    </w:p>
    <w:p w14:paraId="368DE0E3" w14:textId="01535C66" w:rsidR="0021052A" w:rsidRDefault="0021052A">
      <w: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6C8B179E" w14:textId="1C6F43C2" w:rsidR="00E131D8"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199624" w:history="1">
            <w:r w:rsidR="00E131D8" w:rsidRPr="00076AE3">
              <w:rPr>
                <w:rStyle w:val="Hyperlink"/>
                <w:rFonts w:eastAsiaTheme="majorEastAsia" w:cstheme="minorHAnsi"/>
                <w:b/>
                <w:noProof/>
              </w:rPr>
              <w:t>Bewaar- en vernietigingsbeleid &lt;ORGANISATIE&gt;</w:t>
            </w:r>
            <w:r w:rsidR="00E131D8">
              <w:rPr>
                <w:noProof/>
                <w:webHidden/>
              </w:rPr>
              <w:tab/>
            </w:r>
            <w:r w:rsidR="00E131D8">
              <w:rPr>
                <w:noProof/>
                <w:webHidden/>
              </w:rPr>
              <w:fldChar w:fldCharType="begin"/>
            </w:r>
            <w:r w:rsidR="00E131D8">
              <w:rPr>
                <w:noProof/>
                <w:webHidden/>
              </w:rPr>
              <w:instrText xml:space="preserve"> PAGEREF _Toc43199624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2F15E875" w14:textId="0D636797" w:rsidR="00E131D8" w:rsidRDefault="00F215D0">
          <w:pPr>
            <w:pStyle w:val="Inhopg2"/>
            <w:tabs>
              <w:tab w:val="left" w:pos="660"/>
              <w:tab w:val="right" w:leader="dot" w:pos="9062"/>
            </w:tabs>
            <w:rPr>
              <w:rFonts w:eastAsiaTheme="minorEastAsia"/>
              <w:noProof/>
              <w:lang w:eastAsia="nl-NL"/>
            </w:rPr>
          </w:pPr>
          <w:hyperlink w:anchor="_Toc43199625" w:history="1">
            <w:r w:rsidR="00E131D8" w:rsidRPr="00076AE3">
              <w:rPr>
                <w:rStyle w:val="Hyperlink"/>
                <w:rFonts w:eastAsiaTheme="majorEastAsia" w:cstheme="minorHAnsi"/>
                <w:b/>
                <w:noProof/>
              </w:rPr>
              <w:t>1.</w:t>
            </w:r>
            <w:r w:rsidR="00E131D8">
              <w:rPr>
                <w:rFonts w:eastAsiaTheme="minorEastAsia"/>
                <w:noProof/>
                <w:lang w:eastAsia="nl-NL"/>
              </w:rPr>
              <w:tab/>
            </w:r>
            <w:r w:rsidR="00E131D8" w:rsidRPr="00076AE3">
              <w:rPr>
                <w:rStyle w:val="Hyperlink"/>
                <w:rFonts w:eastAsiaTheme="majorEastAsia" w:cstheme="minorHAnsi"/>
                <w:b/>
                <w:noProof/>
              </w:rPr>
              <w:t>Inleiding</w:t>
            </w:r>
            <w:r w:rsidR="00E131D8">
              <w:rPr>
                <w:noProof/>
                <w:webHidden/>
              </w:rPr>
              <w:tab/>
            </w:r>
            <w:r w:rsidR="00E131D8">
              <w:rPr>
                <w:noProof/>
                <w:webHidden/>
              </w:rPr>
              <w:fldChar w:fldCharType="begin"/>
            </w:r>
            <w:r w:rsidR="00E131D8">
              <w:rPr>
                <w:noProof/>
                <w:webHidden/>
              </w:rPr>
              <w:instrText xml:space="preserve"> PAGEREF _Toc43199625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7683A53F" w14:textId="6DA63902" w:rsidR="00E131D8" w:rsidRDefault="00F215D0">
          <w:pPr>
            <w:pStyle w:val="Inhopg3"/>
            <w:tabs>
              <w:tab w:val="left" w:pos="1100"/>
              <w:tab w:val="right" w:leader="dot" w:pos="9062"/>
            </w:tabs>
            <w:rPr>
              <w:rFonts w:eastAsiaTheme="minorEastAsia"/>
              <w:noProof/>
              <w:lang w:eastAsia="nl-NL"/>
            </w:rPr>
          </w:pPr>
          <w:hyperlink w:anchor="_Toc43199626" w:history="1">
            <w:r w:rsidR="00E131D8" w:rsidRPr="00076AE3">
              <w:rPr>
                <w:rStyle w:val="Hyperlink"/>
                <w:rFonts w:eastAsiaTheme="majorEastAsia" w:cstheme="minorHAnsi"/>
                <w:b/>
                <w:noProof/>
              </w:rPr>
              <w:t>1.1</w:t>
            </w:r>
            <w:r w:rsidR="00E131D8">
              <w:rPr>
                <w:rFonts w:eastAsiaTheme="minorEastAsia"/>
                <w:noProof/>
                <w:lang w:eastAsia="nl-NL"/>
              </w:rPr>
              <w:tab/>
            </w:r>
            <w:r w:rsidR="00E131D8" w:rsidRPr="00076AE3">
              <w:rPr>
                <w:rStyle w:val="Hyperlink"/>
                <w:rFonts w:eastAsiaTheme="majorEastAsia" w:cstheme="minorHAnsi"/>
                <w:b/>
                <w:noProof/>
              </w:rPr>
              <w:t>Waarom een bewaar- en vernietigingsbeleid?</w:t>
            </w:r>
            <w:r w:rsidR="00E131D8">
              <w:rPr>
                <w:noProof/>
                <w:webHidden/>
              </w:rPr>
              <w:tab/>
            </w:r>
            <w:r w:rsidR="00E131D8">
              <w:rPr>
                <w:noProof/>
                <w:webHidden/>
              </w:rPr>
              <w:fldChar w:fldCharType="begin"/>
            </w:r>
            <w:r w:rsidR="00E131D8">
              <w:rPr>
                <w:noProof/>
                <w:webHidden/>
              </w:rPr>
              <w:instrText xml:space="preserve"> PAGEREF _Toc43199626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33674C70" w14:textId="4E2D6561" w:rsidR="00E131D8" w:rsidRDefault="00F215D0">
          <w:pPr>
            <w:pStyle w:val="Inhopg3"/>
            <w:tabs>
              <w:tab w:val="left" w:pos="1100"/>
              <w:tab w:val="right" w:leader="dot" w:pos="9062"/>
            </w:tabs>
            <w:rPr>
              <w:rFonts w:eastAsiaTheme="minorEastAsia"/>
              <w:noProof/>
              <w:lang w:eastAsia="nl-NL"/>
            </w:rPr>
          </w:pPr>
          <w:hyperlink w:anchor="_Toc43199627" w:history="1">
            <w:r w:rsidR="00E131D8" w:rsidRPr="00076AE3">
              <w:rPr>
                <w:rStyle w:val="Hyperlink"/>
                <w:rFonts w:eastAsiaTheme="majorEastAsia" w:cstheme="minorHAnsi"/>
                <w:b/>
                <w:noProof/>
              </w:rPr>
              <w:t>1.2</w:t>
            </w:r>
            <w:r w:rsidR="00E131D8">
              <w:rPr>
                <w:rFonts w:eastAsiaTheme="minorEastAsia"/>
                <w:noProof/>
                <w:lang w:eastAsia="nl-NL"/>
              </w:rPr>
              <w:tab/>
            </w:r>
            <w:r w:rsidR="00E131D8" w:rsidRPr="00076AE3">
              <w:rPr>
                <w:rStyle w:val="Hyperlink"/>
                <w:rFonts w:eastAsiaTheme="majorEastAsia" w:cstheme="minorHAnsi"/>
                <w:b/>
                <w:noProof/>
              </w:rPr>
              <w:t>Reikwijdte</w:t>
            </w:r>
            <w:r w:rsidR="00E131D8">
              <w:rPr>
                <w:noProof/>
                <w:webHidden/>
              </w:rPr>
              <w:tab/>
            </w:r>
            <w:r w:rsidR="00E131D8">
              <w:rPr>
                <w:noProof/>
                <w:webHidden/>
              </w:rPr>
              <w:fldChar w:fldCharType="begin"/>
            </w:r>
            <w:r w:rsidR="00E131D8">
              <w:rPr>
                <w:noProof/>
                <w:webHidden/>
              </w:rPr>
              <w:instrText xml:space="preserve"> PAGEREF _Toc43199627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1CEC238E" w14:textId="67707A78" w:rsidR="00E131D8" w:rsidRDefault="00F215D0">
          <w:pPr>
            <w:pStyle w:val="Inhopg2"/>
            <w:tabs>
              <w:tab w:val="left" w:pos="660"/>
              <w:tab w:val="right" w:leader="dot" w:pos="9062"/>
            </w:tabs>
            <w:rPr>
              <w:rFonts w:eastAsiaTheme="minorEastAsia"/>
              <w:noProof/>
              <w:lang w:eastAsia="nl-NL"/>
            </w:rPr>
          </w:pPr>
          <w:hyperlink w:anchor="_Toc43199628" w:history="1">
            <w:r w:rsidR="00E131D8" w:rsidRPr="00076AE3">
              <w:rPr>
                <w:rStyle w:val="Hyperlink"/>
                <w:rFonts w:eastAsiaTheme="majorEastAsia" w:cstheme="minorHAnsi"/>
                <w:b/>
                <w:noProof/>
              </w:rPr>
              <w:t>2.</w:t>
            </w:r>
            <w:r w:rsidR="00E131D8">
              <w:rPr>
                <w:rFonts w:eastAsiaTheme="minorEastAsia"/>
                <w:noProof/>
                <w:lang w:eastAsia="nl-NL"/>
              </w:rPr>
              <w:tab/>
            </w:r>
            <w:r w:rsidR="00E131D8" w:rsidRPr="00076AE3">
              <w:rPr>
                <w:rStyle w:val="Hyperlink"/>
                <w:rFonts w:eastAsiaTheme="majorEastAsia" w:cstheme="minorHAnsi"/>
                <w:b/>
                <w:noProof/>
              </w:rPr>
              <w:t>Juridisch kader</w:t>
            </w:r>
            <w:r w:rsidR="00E131D8">
              <w:rPr>
                <w:noProof/>
                <w:webHidden/>
              </w:rPr>
              <w:tab/>
            </w:r>
            <w:r w:rsidR="00E131D8">
              <w:rPr>
                <w:noProof/>
                <w:webHidden/>
              </w:rPr>
              <w:fldChar w:fldCharType="begin"/>
            </w:r>
            <w:r w:rsidR="00E131D8">
              <w:rPr>
                <w:noProof/>
                <w:webHidden/>
              </w:rPr>
              <w:instrText xml:space="preserve"> PAGEREF _Toc43199628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A1CC146" w14:textId="16B80A26" w:rsidR="00E131D8" w:rsidRDefault="00F215D0">
          <w:pPr>
            <w:pStyle w:val="Inhopg3"/>
            <w:tabs>
              <w:tab w:val="left" w:pos="1100"/>
              <w:tab w:val="right" w:leader="dot" w:pos="9062"/>
            </w:tabs>
            <w:rPr>
              <w:rFonts w:eastAsiaTheme="minorEastAsia"/>
              <w:noProof/>
              <w:lang w:eastAsia="nl-NL"/>
            </w:rPr>
          </w:pPr>
          <w:hyperlink w:anchor="_Toc43199629" w:history="1">
            <w:r w:rsidR="00E131D8" w:rsidRPr="00076AE3">
              <w:rPr>
                <w:rStyle w:val="Hyperlink"/>
                <w:rFonts w:eastAsiaTheme="majorEastAsia" w:cstheme="minorHAnsi"/>
                <w:b/>
                <w:noProof/>
              </w:rPr>
              <w:t>2.1</w:t>
            </w:r>
            <w:r w:rsidR="00E131D8">
              <w:rPr>
                <w:rFonts w:eastAsiaTheme="minorEastAsia"/>
                <w:noProof/>
                <w:lang w:eastAsia="nl-NL"/>
              </w:rPr>
              <w:tab/>
            </w:r>
            <w:r w:rsidR="00E131D8" w:rsidRPr="00076AE3">
              <w:rPr>
                <w:rStyle w:val="Hyperlink"/>
                <w:rFonts w:eastAsiaTheme="majorEastAsia" w:cstheme="minorHAnsi"/>
                <w:b/>
                <w:noProof/>
              </w:rPr>
              <w:t>Bewaartermijnen en de Algemene Verordening Gegevensbescherming</w:t>
            </w:r>
            <w:r w:rsidR="00E131D8">
              <w:rPr>
                <w:noProof/>
                <w:webHidden/>
              </w:rPr>
              <w:tab/>
            </w:r>
            <w:r w:rsidR="00E131D8">
              <w:rPr>
                <w:noProof/>
                <w:webHidden/>
              </w:rPr>
              <w:fldChar w:fldCharType="begin"/>
            </w:r>
            <w:r w:rsidR="00E131D8">
              <w:rPr>
                <w:noProof/>
                <w:webHidden/>
              </w:rPr>
              <w:instrText xml:space="preserve"> PAGEREF _Toc43199629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C2F673C" w14:textId="15A2DBFE" w:rsidR="00E131D8" w:rsidRDefault="00F215D0">
          <w:pPr>
            <w:pStyle w:val="Inhopg3"/>
            <w:tabs>
              <w:tab w:val="left" w:pos="1100"/>
              <w:tab w:val="right" w:leader="dot" w:pos="9062"/>
            </w:tabs>
            <w:rPr>
              <w:rFonts w:eastAsiaTheme="minorEastAsia"/>
              <w:noProof/>
              <w:lang w:eastAsia="nl-NL"/>
            </w:rPr>
          </w:pPr>
          <w:hyperlink w:anchor="_Toc43199630" w:history="1">
            <w:r w:rsidR="00E131D8" w:rsidRPr="00076AE3">
              <w:rPr>
                <w:rStyle w:val="Hyperlink"/>
                <w:rFonts w:eastAsiaTheme="majorEastAsia" w:cstheme="minorHAnsi"/>
                <w:b/>
                <w:noProof/>
              </w:rPr>
              <w:t>2.2</w:t>
            </w:r>
            <w:r w:rsidR="00E131D8">
              <w:rPr>
                <w:rFonts w:eastAsiaTheme="minorEastAsia"/>
                <w:noProof/>
                <w:lang w:eastAsia="nl-NL"/>
              </w:rPr>
              <w:tab/>
            </w:r>
            <w:r w:rsidR="00E131D8" w:rsidRPr="00076AE3">
              <w:rPr>
                <w:rStyle w:val="Hyperlink"/>
                <w:rFonts w:eastAsiaTheme="majorEastAsia" w:cstheme="minorHAnsi"/>
                <w:b/>
                <w:noProof/>
              </w:rPr>
              <w:t>Overige wetgeving</w:t>
            </w:r>
            <w:r w:rsidR="00E131D8">
              <w:rPr>
                <w:noProof/>
                <w:webHidden/>
              </w:rPr>
              <w:tab/>
            </w:r>
            <w:r w:rsidR="00E131D8">
              <w:rPr>
                <w:noProof/>
                <w:webHidden/>
              </w:rPr>
              <w:fldChar w:fldCharType="begin"/>
            </w:r>
            <w:r w:rsidR="00E131D8">
              <w:rPr>
                <w:noProof/>
                <w:webHidden/>
              </w:rPr>
              <w:instrText xml:space="preserve"> PAGEREF _Toc43199630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198233E" w14:textId="5A3CB8BC" w:rsidR="00E131D8" w:rsidRDefault="00F215D0">
          <w:pPr>
            <w:pStyle w:val="Inhopg2"/>
            <w:tabs>
              <w:tab w:val="left" w:pos="880"/>
              <w:tab w:val="right" w:leader="dot" w:pos="9062"/>
            </w:tabs>
            <w:rPr>
              <w:rFonts w:eastAsiaTheme="minorEastAsia"/>
              <w:noProof/>
              <w:lang w:eastAsia="nl-NL"/>
            </w:rPr>
          </w:pPr>
          <w:hyperlink w:anchor="_Toc43199631" w:history="1">
            <w:r w:rsidR="00E131D8" w:rsidRPr="00076AE3">
              <w:rPr>
                <w:rStyle w:val="Hyperlink"/>
                <w:rFonts w:eastAsiaTheme="majorEastAsia" w:cstheme="minorHAnsi"/>
                <w:b/>
                <w:noProof/>
              </w:rPr>
              <w:t xml:space="preserve">3. </w:t>
            </w:r>
            <w:r w:rsidR="00E131D8">
              <w:rPr>
                <w:rFonts w:eastAsiaTheme="minorEastAsia"/>
                <w:noProof/>
                <w:lang w:eastAsia="nl-NL"/>
              </w:rPr>
              <w:tab/>
            </w:r>
            <w:r w:rsidR="00E131D8" w:rsidRPr="00076AE3">
              <w:rPr>
                <w:rStyle w:val="Hyperlink"/>
                <w:rFonts w:eastAsiaTheme="majorEastAsia" w:cstheme="minorHAnsi"/>
                <w:b/>
                <w:noProof/>
              </w:rPr>
              <w:t>Uitgangspunten en normen voor het bewaren van persoonsgegevens</w:t>
            </w:r>
            <w:r w:rsidR="00E131D8">
              <w:rPr>
                <w:noProof/>
                <w:webHidden/>
              </w:rPr>
              <w:tab/>
            </w:r>
            <w:r w:rsidR="00E131D8">
              <w:rPr>
                <w:noProof/>
                <w:webHidden/>
              </w:rPr>
              <w:fldChar w:fldCharType="begin"/>
            </w:r>
            <w:r w:rsidR="00E131D8">
              <w:rPr>
                <w:noProof/>
                <w:webHidden/>
              </w:rPr>
              <w:instrText xml:space="preserve"> PAGEREF _Toc43199631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48CCF13" w14:textId="4D85DA71" w:rsidR="00E131D8" w:rsidRDefault="00F215D0">
          <w:pPr>
            <w:pStyle w:val="Inhopg3"/>
            <w:tabs>
              <w:tab w:val="left" w:pos="1100"/>
              <w:tab w:val="right" w:leader="dot" w:pos="9062"/>
            </w:tabs>
            <w:rPr>
              <w:rFonts w:eastAsiaTheme="minorEastAsia"/>
              <w:noProof/>
              <w:lang w:eastAsia="nl-NL"/>
            </w:rPr>
          </w:pPr>
          <w:hyperlink w:anchor="_Toc43199632" w:history="1">
            <w:r w:rsidR="00E131D8" w:rsidRPr="00076AE3">
              <w:rPr>
                <w:rStyle w:val="Hyperlink"/>
                <w:rFonts w:eastAsiaTheme="majorEastAsia" w:cstheme="minorHAnsi"/>
                <w:b/>
                <w:noProof/>
              </w:rPr>
              <w:t>3.1</w:t>
            </w:r>
            <w:r w:rsidR="00E131D8">
              <w:rPr>
                <w:rFonts w:eastAsiaTheme="minorEastAsia"/>
                <w:noProof/>
                <w:lang w:eastAsia="nl-NL"/>
              </w:rPr>
              <w:tab/>
            </w:r>
            <w:r w:rsidR="00E131D8" w:rsidRPr="00076AE3">
              <w:rPr>
                <w:rStyle w:val="Hyperlink"/>
                <w:rFonts w:eastAsiaTheme="majorEastAsia" w:cstheme="minorHAnsi"/>
                <w:b/>
                <w:noProof/>
              </w:rPr>
              <w:t>Kernbegrippen van de AVG</w:t>
            </w:r>
            <w:r w:rsidR="00E131D8">
              <w:rPr>
                <w:noProof/>
                <w:webHidden/>
              </w:rPr>
              <w:tab/>
            </w:r>
            <w:r w:rsidR="00E131D8">
              <w:rPr>
                <w:noProof/>
                <w:webHidden/>
              </w:rPr>
              <w:fldChar w:fldCharType="begin"/>
            </w:r>
            <w:r w:rsidR="00E131D8">
              <w:rPr>
                <w:noProof/>
                <w:webHidden/>
              </w:rPr>
              <w:instrText xml:space="preserve"> PAGEREF _Toc43199632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18F0E5AB" w14:textId="0D01AA7E" w:rsidR="00E131D8" w:rsidRDefault="00F215D0">
          <w:pPr>
            <w:pStyle w:val="Inhopg3"/>
            <w:tabs>
              <w:tab w:val="left" w:pos="1100"/>
              <w:tab w:val="right" w:leader="dot" w:pos="9062"/>
            </w:tabs>
            <w:rPr>
              <w:rFonts w:eastAsiaTheme="minorEastAsia"/>
              <w:noProof/>
              <w:lang w:eastAsia="nl-NL"/>
            </w:rPr>
          </w:pPr>
          <w:hyperlink w:anchor="_Toc43199633" w:history="1">
            <w:r w:rsidR="00E131D8" w:rsidRPr="00076AE3">
              <w:rPr>
                <w:rStyle w:val="Hyperlink"/>
                <w:rFonts w:eastAsiaTheme="majorEastAsia" w:cstheme="minorHAnsi"/>
                <w:b/>
                <w:noProof/>
              </w:rPr>
              <w:t>3.2</w:t>
            </w:r>
            <w:r w:rsidR="00E131D8">
              <w:rPr>
                <w:rFonts w:eastAsiaTheme="minorEastAsia"/>
                <w:noProof/>
                <w:lang w:eastAsia="nl-NL"/>
              </w:rPr>
              <w:tab/>
            </w:r>
            <w:r w:rsidR="00E131D8" w:rsidRPr="00076AE3">
              <w:rPr>
                <w:rStyle w:val="Hyperlink"/>
                <w:rFonts w:eastAsiaTheme="majorEastAsia" w:cstheme="minorHAnsi"/>
                <w:b/>
                <w:noProof/>
              </w:rPr>
              <w:t>Toepasselijkheid AVG</w:t>
            </w:r>
            <w:r w:rsidR="00E131D8">
              <w:rPr>
                <w:noProof/>
                <w:webHidden/>
              </w:rPr>
              <w:tab/>
            </w:r>
            <w:r w:rsidR="00E131D8">
              <w:rPr>
                <w:noProof/>
                <w:webHidden/>
              </w:rPr>
              <w:fldChar w:fldCharType="begin"/>
            </w:r>
            <w:r w:rsidR="00E131D8">
              <w:rPr>
                <w:noProof/>
                <w:webHidden/>
              </w:rPr>
              <w:instrText xml:space="preserve"> PAGEREF _Toc43199633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6CA79BD2" w14:textId="6874DB87" w:rsidR="00E131D8" w:rsidRDefault="00F215D0">
          <w:pPr>
            <w:pStyle w:val="Inhopg2"/>
            <w:tabs>
              <w:tab w:val="left" w:pos="880"/>
              <w:tab w:val="right" w:leader="dot" w:pos="9062"/>
            </w:tabs>
            <w:rPr>
              <w:rFonts w:eastAsiaTheme="minorEastAsia"/>
              <w:noProof/>
              <w:lang w:eastAsia="nl-NL"/>
            </w:rPr>
          </w:pPr>
          <w:hyperlink w:anchor="_Toc43199634" w:history="1">
            <w:r w:rsidR="00E131D8" w:rsidRPr="00076AE3">
              <w:rPr>
                <w:rStyle w:val="Hyperlink"/>
                <w:rFonts w:eastAsiaTheme="majorEastAsia" w:cstheme="minorHAnsi"/>
                <w:b/>
                <w:noProof/>
              </w:rPr>
              <w:t xml:space="preserve">5. </w:t>
            </w:r>
            <w:r w:rsidR="00E131D8">
              <w:rPr>
                <w:rFonts w:eastAsiaTheme="minorEastAsia"/>
                <w:noProof/>
                <w:lang w:eastAsia="nl-NL"/>
              </w:rPr>
              <w:tab/>
            </w:r>
            <w:r w:rsidR="00E131D8" w:rsidRPr="00076AE3">
              <w:rPr>
                <w:rStyle w:val="Hyperlink"/>
                <w:rFonts w:eastAsiaTheme="majorEastAsia" w:cstheme="minorHAnsi"/>
                <w:b/>
                <w:noProof/>
              </w:rPr>
              <w:t>Organisatorisch kader</w:t>
            </w:r>
            <w:r w:rsidR="00E131D8">
              <w:rPr>
                <w:noProof/>
                <w:webHidden/>
              </w:rPr>
              <w:tab/>
            </w:r>
            <w:r w:rsidR="00E131D8">
              <w:rPr>
                <w:noProof/>
                <w:webHidden/>
              </w:rPr>
              <w:fldChar w:fldCharType="begin"/>
            </w:r>
            <w:r w:rsidR="00E131D8">
              <w:rPr>
                <w:noProof/>
                <w:webHidden/>
              </w:rPr>
              <w:instrText xml:space="preserve"> PAGEREF _Toc43199634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7511CB29" w14:textId="6A69295A" w:rsidR="00E131D8" w:rsidRDefault="00F215D0">
          <w:pPr>
            <w:pStyle w:val="Inhopg3"/>
            <w:tabs>
              <w:tab w:val="left" w:pos="1100"/>
              <w:tab w:val="right" w:leader="dot" w:pos="9062"/>
            </w:tabs>
            <w:rPr>
              <w:rFonts w:eastAsiaTheme="minorEastAsia"/>
              <w:noProof/>
              <w:lang w:eastAsia="nl-NL"/>
            </w:rPr>
          </w:pPr>
          <w:hyperlink w:anchor="_Toc43199635" w:history="1">
            <w:r w:rsidR="00E131D8" w:rsidRPr="00076AE3">
              <w:rPr>
                <w:rStyle w:val="Hyperlink"/>
                <w:rFonts w:eastAsiaTheme="majorEastAsia" w:cstheme="minorHAnsi"/>
                <w:b/>
                <w:noProof/>
              </w:rPr>
              <w:t>5.1</w:t>
            </w:r>
            <w:r w:rsidR="00E131D8">
              <w:rPr>
                <w:rFonts w:eastAsiaTheme="minorEastAsia"/>
                <w:noProof/>
                <w:lang w:eastAsia="nl-NL"/>
              </w:rPr>
              <w:tab/>
            </w:r>
            <w:r w:rsidR="00E131D8" w:rsidRPr="00076AE3">
              <w:rPr>
                <w:rStyle w:val="Hyperlink"/>
                <w:rFonts w:eastAsiaTheme="majorEastAsia" w:cstheme="minorHAnsi"/>
                <w:b/>
                <w:noProof/>
              </w:rPr>
              <w:t>Rollen en verantwoordelijkheden</w:t>
            </w:r>
            <w:r w:rsidR="00E131D8">
              <w:rPr>
                <w:noProof/>
                <w:webHidden/>
              </w:rPr>
              <w:tab/>
            </w:r>
            <w:r w:rsidR="00E131D8">
              <w:rPr>
                <w:noProof/>
                <w:webHidden/>
              </w:rPr>
              <w:fldChar w:fldCharType="begin"/>
            </w:r>
            <w:r w:rsidR="00E131D8">
              <w:rPr>
                <w:noProof/>
                <w:webHidden/>
              </w:rPr>
              <w:instrText xml:space="preserve"> PAGEREF _Toc43199635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46ABD81C" w14:textId="13A3BB86" w:rsidR="00E131D8" w:rsidRDefault="00F215D0">
          <w:pPr>
            <w:pStyle w:val="Inhopg3"/>
            <w:tabs>
              <w:tab w:val="left" w:pos="1100"/>
              <w:tab w:val="right" w:leader="dot" w:pos="9062"/>
            </w:tabs>
            <w:rPr>
              <w:rFonts w:eastAsiaTheme="minorEastAsia"/>
              <w:noProof/>
              <w:lang w:eastAsia="nl-NL"/>
            </w:rPr>
          </w:pPr>
          <w:hyperlink w:anchor="_Toc43199636" w:history="1">
            <w:r w:rsidR="00E131D8" w:rsidRPr="00076AE3">
              <w:rPr>
                <w:rStyle w:val="Hyperlink"/>
                <w:rFonts w:eastAsiaTheme="majorEastAsia" w:cstheme="minorHAnsi"/>
                <w:b/>
                <w:noProof/>
              </w:rPr>
              <w:t>5.2</w:t>
            </w:r>
            <w:r w:rsidR="00E131D8">
              <w:rPr>
                <w:rFonts w:eastAsiaTheme="minorEastAsia"/>
                <w:noProof/>
                <w:lang w:eastAsia="nl-NL"/>
              </w:rPr>
              <w:tab/>
            </w:r>
            <w:r w:rsidR="00E131D8" w:rsidRPr="00076AE3">
              <w:rPr>
                <w:rStyle w:val="Hyperlink"/>
                <w:rFonts w:eastAsiaTheme="majorEastAsia" w:cstheme="minorHAnsi"/>
                <w:b/>
                <w:noProof/>
              </w:rPr>
              <w:t>Methodiek</w:t>
            </w:r>
            <w:r w:rsidR="00E131D8">
              <w:rPr>
                <w:noProof/>
                <w:webHidden/>
              </w:rPr>
              <w:tab/>
            </w:r>
            <w:r w:rsidR="00E131D8">
              <w:rPr>
                <w:noProof/>
                <w:webHidden/>
              </w:rPr>
              <w:fldChar w:fldCharType="begin"/>
            </w:r>
            <w:r w:rsidR="00E131D8">
              <w:rPr>
                <w:noProof/>
                <w:webHidden/>
              </w:rPr>
              <w:instrText xml:space="preserve"> PAGEREF _Toc43199636 \h </w:instrText>
            </w:r>
            <w:r w:rsidR="00E131D8">
              <w:rPr>
                <w:noProof/>
                <w:webHidden/>
              </w:rPr>
            </w:r>
            <w:r w:rsidR="00E131D8">
              <w:rPr>
                <w:noProof/>
                <w:webHidden/>
              </w:rPr>
              <w:fldChar w:fldCharType="separate"/>
            </w:r>
            <w:r w:rsidR="00E131D8">
              <w:rPr>
                <w:noProof/>
                <w:webHidden/>
              </w:rPr>
              <w:t>10</w:t>
            </w:r>
            <w:r w:rsidR="00E131D8">
              <w:rPr>
                <w:noProof/>
                <w:webHidden/>
              </w:rPr>
              <w:fldChar w:fldCharType="end"/>
            </w:r>
          </w:hyperlink>
        </w:p>
        <w:p w14:paraId="498E7985" w14:textId="6D8A7C70" w:rsidR="00E131D8" w:rsidRDefault="00F215D0">
          <w:pPr>
            <w:pStyle w:val="Inhopg2"/>
            <w:tabs>
              <w:tab w:val="left" w:pos="1320"/>
              <w:tab w:val="right" w:leader="dot" w:pos="9062"/>
            </w:tabs>
            <w:rPr>
              <w:rFonts w:eastAsiaTheme="minorEastAsia"/>
              <w:noProof/>
              <w:lang w:eastAsia="nl-NL"/>
            </w:rPr>
          </w:pPr>
          <w:hyperlink w:anchor="_Toc43199637" w:history="1">
            <w:r w:rsidR="00E131D8" w:rsidRPr="00076AE3">
              <w:rPr>
                <w:rStyle w:val="Hyperlink"/>
                <w:rFonts w:eastAsiaTheme="majorEastAsia" w:cstheme="minorHAnsi"/>
                <w:b/>
                <w:noProof/>
              </w:rPr>
              <w:t>Bijlage A:</w:t>
            </w:r>
            <w:r w:rsidR="00E131D8">
              <w:rPr>
                <w:rFonts w:eastAsiaTheme="minorEastAsia"/>
                <w:noProof/>
                <w:lang w:eastAsia="nl-NL"/>
              </w:rPr>
              <w:tab/>
            </w:r>
            <w:r w:rsidR="00E131D8" w:rsidRPr="00076AE3">
              <w:rPr>
                <w:rStyle w:val="Hyperlink"/>
                <w:rFonts w:eastAsiaTheme="majorEastAsia" w:cstheme="minorHAnsi"/>
                <w:b/>
                <w:noProof/>
              </w:rPr>
              <w:t>Definities</w:t>
            </w:r>
            <w:r w:rsidR="00E131D8">
              <w:rPr>
                <w:noProof/>
                <w:webHidden/>
              </w:rPr>
              <w:tab/>
            </w:r>
            <w:r w:rsidR="00E131D8">
              <w:rPr>
                <w:noProof/>
                <w:webHidden/>
              </w:rPr>
              <w:fldChar w:fldCharType="begin"/>
            </w:r>
            <w:r w:rsidR="00E131D8">
              <w:rPr>
                <w:noProof/>
                <w:webHidden/>
              </w:rPr>
              <w:instrText xml:space="preserve"> PAGEREF _Toc43199637 \h </w:instrText>
            </w:r>
            <w:r w:rsidR="00E131D8">
              <w:rPr>
                <w:noProof/>
                <w:webHidden/>
              </w:rPr>
            </w:r>
            <w:r w:rsidR="00E131D8">
              <w:rPr>
                <w:noProof/>
                <w:webHidden/>
              </w:rPr>
              <w:fldChar w:fldCharType="separate"/>
            </w:r>
            <w:r w:rsidR="00E131D8">
              <w:rPr>
                <w:noProof/>
                <w:webHidden/>
              </w:rPr>
              <w:t>12</w:t>
            </w:r>
            <w:r w:rsidR="00E131D8">
              <w:rPr>
                <w:noProof/>
                <w:webHidden/>
              </w:rPr>
              <w:fldChar w:fldCharType="end"/>
            </w:r>
          </w:hyperlink>
        </w:p>
        <w:p w14:paraId="79D8CADD" w14:textId="0EDE48D0" w:rsidR="00E131D8" w:rsidRDefault="00F215D0">
          <w:pPr>
            <w:pStyle w:val="Inhopg2"/>
            <w:tabs>
              <w:tab w:val="right" w:leader="dot" w:pos="9062"/>
            </w:tabs>
            <w:rPr>
              <w:rFonts w:eastAsiaTheme="minorEastAsia"/>
              <w:noProof/>
              <w:lang w:eastAsia="nl-NL"/>
            </w:rPr>
          </w:pPr>
          <w:hyperlink w:anchor="_Toc43199638" w:history="1">
            <w:r w:rsidR="00E131D8" w:rsidRPr="00076AE3">
              <w:rPr>
                <w:rStyle w:val="Hyperlink"/>
                <w:rFonts w:eastAsiaTheme="majorEastAsia" w:cstheme="minorHAnsi"/>
                <w:b/>
                <w:noProof/>
              </w:rPr>
              <w:t>Bijlage B: Vernietigingsprotocol</w:t>
            </w:r>
            <w:r w:rsidR="00E131D8">
              <w:rPr>
                <w:noProof/>
                <w:webHidden/>
              </w:rPr>
              <w:tab/>
            </w:r>
            <w:r w:rsidR="00E131D8">
              <w:rPr>
                <w:noProof/>
                <w:webHidden/>
              </w:rPr>
              <w:fldChar w:fldCharType="begin"/>
            </w:r>
            <w:r w:rsidR="00E131D8">
              <w:rPr>
                <w:noProof/>
                <w:webHidden/>
              </w:rPr>
              <w:instrText xml:space="preserve"> PAGEREF _Toc43199638 \h </w:instrText>
            </w:r>
            <w:r w:rsidR="00E131D8">
              <w:rPr>
                <w:noProof/>
                <w:webHidden/>
              </w:rPr>
            </w:r>
            <w:r w:rsidR="00E131D8">
              <w:rPr>
                <w:noProof/>
                <w:webHidden/>
              </w:rPr>
              <w:fldChar w:fldCharType="separate"/>
            </w:r>
            <w:r w:rsidR="00E131D8">
              <w:rPr>
                <w:noProof/>
                <w:webHidden/>
              </w:rPr>
              <w:t>13</w:t>
            </w:r>
            <w:r w:rsidR="00E131D8">
              <w:rPr>
                <w:noProof/>
                <w:webHidden/>
              </w:rPr>
              <w:fldChar w:fldCharType="end"/>
            </w:r>
          </w:hyperlink>
        </w:p>
        <w:p w14:paraId="0CEB818A" w14:textId="4BE9DFA6" w:rsidR="00E131D8" w:rsidRDefault="00F215D0">
          <w:pPr>
            <w:pStyle w:val="Inhopg2"/>
            <w:tabs>
              <w:tab w:val="left" w:pos="1320"/>
              <w:tab w:val="right" w:leader="dot" w:pos="9062"/>
            </w:tabs>
            <w:rPr>
              <w:rFonts w:eastAsiaTheme="minorEastAsia"/>
              <w:noProof/>
              <w:lang w:eastAsia="nl-NL"/>
            </w:rPr>
          </w:pPr>
          <w:hyperlink w:anchor="_Toc43199639" w:history="1">
            <w:r w:rsidR="00E131D8" w:rsidRPr="00076AE3">
              <w:rPr>
                <w:rStyle w:val="Hyperlink"/>
                <w:rFonts w:eastAsiaTheme="majorEastAsia" w:cstheme="minorHAnsi"/>
                <w:b/>
                <w:noProof/>
              </w:rPr>
              <w:t>Bijlage C:</w:t>
            </w:r>
            <w:r w:rsidR="00E131D8">
              <w:rPr>
                <w:rFonts w:eastAsiaTheme="minorEastAsia"/>
                <w:noProof/>
                <w:lang w:eastAsia="nl-NL"/>
              </w:rPr>
              <w:tab/>
            </w:r>
            <w:r w:rsidR="00E131D8" w:rsidRPr="00076AE3">
              <w:rPr>
                <w:rStyle w:val="Hyperlink"/>
                <w:rFonts w:eastAsiaTheme="majorEastAsia" w:cstheme="minorHAnsi"/>
                <w:b/>
                <w:noProof/>
              </w:rPr>
              <w:t>Bewaartermijnen voor in het onderwijs</w:t>
            </w:r>
            <w:r w:rsidR="00E131D8">
              <w:rPr>
                <w:noProof/>
                <w:webHidden/>
              </w:rPr>
              <w:tab/>
            </w:r>
            <w:r w:rsidR="00E131D8">
              <w:rPr>
                <w:noProof/>
                <w:webHidden/>
              </w:rPr>
              <w:fldChar w:fldCharType="begin"/>
            </w:r>
            <w:r w:rsidR="00E131D8">
              <w:rPr>
                <w:noProof/>
                <w:webHidden/>
              </w:rPr>
              <w:instrText xml:space="preserve"> PAGEREF _Toc43199639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41D54B59" w14:textId="5B1F27BD" w:rsidR="00E131D8" w:rsidRDefault="00F215D0">
          <w:pPr>
            <w:pStyle w:val="Inhopg3"/>
            <w:tabs>
              <w:tab w:val="right" w:leader="dot" w:pos="9062"/>
            </w:tabs>
            <w:rPr>
              <w:rFonts w:eastAsiaTheme="minorEastAsia"/>
              <w:noProof/>
              <w:lang w:eastAsia="nl-NL"/>
            </w:rPr>
          </w:pPr>
          <w:hyperlink w:anchor="_Toc43199640" w:history="1">
            <w:r w:rsidR="00E131D8" w:rsidRPr="00076AE3">
              <w:rPr>
                <w:rStyle w:val="Hyperlink"/>
                <w:rFonts w:eastAsiaTheme="majorEastAsia" w:cstheme="minorHAnsi"/>
                <w:b/>
                <w:noProof/>
              </w:rPr>
              <w:t>Onderwijswetten</w:t>
            </w:r>
            <w:r w:rsidR="00E131D8">
              <w:rPr>
                <w:noProof/>
                <w:webHidden/>
              </w:rPr>
              <w:tab/>
            </w:r>
            <w:r w:rsidR="00E131D8">
              <w:rPr>
                <w:noProof/>
                <w:webHidden/>
              </w:rPr>
              <w:fldChar w:fldCharType="begin"/>
            </w:r>
            <w:r w:rsidR="00E131D8">
              <w:rPr>
                <w:noProof/>
                <w:webHidden/>
              </w:rPr>
              <w:instrText xml:space="preserve"> PAGEREF _Toc43199640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2EB8625C" w14:textId="7389D5FC" w:rsidR="00E131D8" w:rsidRDefault="00F215D0">
          <w:pPr>
            <w:pStyle w:val="Inhopg3"/>
            <w:tabs>
              <w:tab w:val="right" w:leader="dot" w:pos="9062"/>
            </w:tabs>
            <w:rPr>
              <w:rFonts w:eastAsiaTheme="minorEastAsia"/>
              <w:noProof/>
              <w:lang w:eastAsia="nl-NL"/>
            </w:rPr>
          </w:pPr>
          <w:hyperlink w:anchor="_Toc43199641" w:history="1">
            <w:r w:rsidR="00E131D8" w:rsidRPr="00076AE3">
              <w:rPr>
                <w:rStyle w:val="Hyperlink"/>
                <w:rFonts w:eastAsiaTheme="majorEastAsia" w:cstheme="minorHAnsi"/>
                <w:b/>
                <w:noProof/>
              </w:rPr>
              <w:t>Digitaal leermateriaal en toetsen</w:t>
            </w:r>
            <w:r w:rsidR="00E131D8">
              <w:rPr>
                <w:noProof/>
                <w:webHidden/>
              </w:rPr>
              <w:tab/>
            </w:r>
            <w:r w:rsidR="00E131D8">
              <w:rPr>
                <w:noProof/>
                <w:webHidden/>
              </w:rPr>
              <w:fldChar w:fldCharType="begin"/>
            </w:r>
            <w:r w:rsidR="00E131D8">
              <w:rPr>
                <w:noProof/>
                <w:webHidden/>
              </w:rPr>
              <w:instrText xml:space="preserve"> PAGEREF _Toc43199641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72A232C5" w14:textId="597F9D88" w:rsidR="00E131D8" w:rsidRDefault="00F215D0">
          <w:pPr>
            <w:pStyle w:val="Inhopg2"/>
            <w:tabs>
              <w:tab w:val="left" w:pos="1320"/>
              <w:tab w:val="right" w:leader="dot" w:pos="9062"/>
            </w:tabs>
            <w:rPr>
              <w:rFonts w:eastAsiaTheme="minorEastAsia"/>
              <w:noProof/>
              <w:lang w:eastAsia="nl-NL"/>
            </w:rPr>
          </w:pPr>
          <w:hyperlink w:anchor="_Toc43199642" w:history="1">
            <w:r w:rsidR="00E131D8" w:rsidRPr="00076AE3">
              <w:rPr>
                <w:rStyle w:val="Hyperlink"/>
                <w:rFonts w:eastAsiaTheme="majorEastAsia" w:cstheme="minorHAnsi"/>
                <w:b/>
                <w:noProof/>
              </w:rPr>
              <w:t>Bijlage D:</w:t>
            </w:r>
            <w:r w:rsidR="00E131D8">
              <w:rPr>
                <w:rFonts w:eastAsiaTheme="minorEastAsia"/>
                <w:noProof/>
                <w:lang w:eastAsia="nl-NL"/>
              </w:rPr>
              <w:tab/>
            </w:r>
            <w:r w:rsidR="00E131D8" w:rsidRPr="00076AE3">
              <w:rPr>
                <w:rStyle w:val="Hyperlink"/>
                <w:rFonts w:eastAsiaTheme="majorEastAsia" w:cstheme="minorHAnsi"/>
                <w:b/>
                <w:noProof/>
              </w:rPr>
              <w:t>Archiefwet</w:t>
            </w:r>
            <w:r w:rsidR="00E131D8">
              <w:rPr>
                <w:noProof/>
                <w:webHidden/>
              </w:rPr>
              <w:tab/>
            </w:r>
            <w:r w:rsidR="00E131D8">
              <w:rPr>
                <w:noProof/>
                <w:webHidden/>
              </w:rPr>
              <w:fldChar w:fldCharType="begin"/>
            </w:r>
            <w:r w:rsidR="00E131D8">
              <w:rPr>
                <w:noProof/>
                <w:webHidden/>
              </w:rPr>
              <w:instrText xml:space="preserve"> PAGEREF _Toc43199642 \h </w:instrText>
            </w:r>
            <w:r w:rsidR="00E131D8">
              <w:rPr>
                <w:noProof/>
                <w:webHidden/>
              </w:rPr>
            </w:r>
            <w:r w:rsidR="00E131D8">
              <w:rPr>
                <w:noProof/>
                <w:webHidden/>
              </w:rPr>
              <w:fldChar w:fldCharType="separate"/>
            </w:r>
            <w:r w:rsidR="00E131D8">
              <w:rPr>
                <w:noProof/>
                <w:webHidden/>
              </w:rPr>
              <w:t>18</w:t>
            </w:r>
            <w:r w:rsidR="00E131D8">
              <w:rPr>
                <w:noProof/>
                <w:webHidden/>
              </w:rPr>
              <w:fldChar w:fldCharType="end"/>
            </w:r>
          </w:hyperlink>
        </w:p>
        <w:p w14:paraId="5382971E" w14:textId="3218E1BE" w:rsidR="00E131D8" w:rsidRDefault="00F215D0">
          <w:pPr>
            <w:pStyle w:val="Inhopg2"/>
            <w:tabs>
              <w:tab w:val="right" w:leader="dot" w:pos="9062"/>
            </w:tabs>
            <w:rPr>
              <w:rFonts w:eastAsiaTheme="minorEastAsia"/>
              <w:noProof/>
              <w:lang w:eastAsia="nl-NL"/>
            </w:rPr>
          </w:pPr>
          <w:hyperlink w:anchor="_Toc43199643" w:history="1">
            <w:r w:rsidR="00E131D8" w:rsidRPr="00076AE3">
              <w:rPr>
                <w:rStyle w:val="Hyperlink"/>
                <w:rFonts w:eastAsiaTheme="majorEastAsia" w:cstheme="minorHAnsi"/>
                <w:b/>
                <w:noProof/>
              </w:rPr>
              <w:t>Bijlage E: Bewaartermijnen</w:t>
            </w:r>
            <w:r w:rsidR="00E131D8">
              <w:rPr>
                <w:noProof/>
                <w:webHidden/>
              </w:rPr>
              <w:tab/>
            </w:r>
            <w:r w:rsidR="00E131D8">
              <w:rPr>
                <w:noProof/>
                <w:webHidden/>
              </w:rPr>
              <w:fldChar w:fldCharType="begin"/>
            </w:r>
            <w:r w:rsidR="00E131D8">
              <w:rPr>
                <w:noProof/>
                <w:webHidden/>
              </w:rPr>
              <w:instrText xml:space="preserve"> PAGEREF _Toc43199643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53EC34EF" w14:textId="6331AFB0" w:rsidR="00E131D8" w:rsidRDefault="00F215D0">
          <w:pPr>
            <w:pStyle w:val="Inhopg3"/>
            <w:tabs>
              <w:tab w:val="right" w:leader="dot" w:pos="9062"/>
            </w:tabs>
            <w:rPr>
              <w:rFonts w:eastAsiaTheme="minorEastAsia"/>
              <w:noProof/>
              <w:lang w:eastAsia="nl-NL"/>
            </w:rPr>
          </w:pPr>
          <w:hyperlink w:anchor="_Toc43199644" w:history="1">
            <w:r w:rsidR="00E131D8" w:rsidRPr="00076AE3">
              <w:rPr>
                <w:rStyle w:val="Hyperlink"/>
                <w:noProof/>
              </w:rPr>
              <w:t>Tabel bewaartermijnen persoonsgegevens leerlingen/oud-leerlingen (onderwijskundig)</w:t>
            </w:r>
            <w:r w:rsidR="00E131D8">
              <w:rPr>
                <w:noProof/>
                <w:webHidden/>
              </w:rPr>
              <w:tab/>
            </w:r>
            <w:r w:rsidR="00E131D8">
              <w:rPr>
                <w:noProof/>
                <w:webHidden/>
              </w:rPr>
              <w:fldChar w:fldCharType="begin"/>
            </w:r>
            <w:r w:rsidR="00E131D8">
              <w:rPr>
                <w:noProof/>
                <w:webHidden/>
              </w:rPr>
              <w:instrText xml:space="preserve"> PAGEREF _Toc43199644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27B7A944" w14:textId="72F9E029" w:rsidR="00E131D8" w:rsidRDefault="00F215D0">
          <w:pPr>
            <w:pStyle w:val="Inhopg3"/>
            <w:tabs>
              <w:tab w:val="right" w:leader="dot" w:pos="9062"/>
            </w:tabs>
            <w:rPr>
              <w:rFonts w:eastAsiaTheme="minorEastAsia"/>
              <w:noProof/>
              <w:lang w:eastAsia="nl-NL"/>
            </w:rPr>
          </w:pPr>
          <w:hyperlink w:anchor="_Toc43199645" w:history="1">
            <w:r w:rsidR="00E131D8" w:rsidRPr="00076AE3">
              <w:rPr>
                <w:rStyle w:val="Hyperlink"/>
                <w:noProof/>
              </w:rPr>
              <w:t>Tabel bewaartermijnen persoonsgegevens leerlingen/oud-leerlingen (administratief)</w:t>
            </w:r>
            <w:r w:rsidR="00E131D8">
              <w:rPr>
                <w:noProof/>
                <w:webHidden/>
              </w:rPr>
              <w:tab/>
            </w:r>
            <w:r w:rsidR="00E131D8">
              <w:rPr>
                <w:noProof/>
                <w:webHidden/>
              </w:rPr>
              <w:fldChar w:fldCharType="begin"/>
            </w:r>
            <w:r w:rsidR="00E131D8">
              <w:rPr>
                <w:noProof/>
                <w:webHidden/>
              </w:rPr>
              <w:instrText xml:space="preserve"> PAGEREF _Toc43199645 \h </w:instrText>
            </w:r>
            <w:r w:rsidR="00E131D8">
              <w:rPr>
                <w:noProof/>
                <w:webHidden/>
              </w:rPr>
            </w:r>
            <w:r w:rsidR="00E131D8">
              <w:rPr>
                <w:noProof/>
                <w:webHidden/>
              </w:rPr>
              <w:fldChar w:fldCharType="separate"/>
            </w:r>
            <w:r w:rsidR="00E131D8">
              <w:rPr>
                <w:noProof/>
                <w:webHidden/>
              </w:rPr>
              <w:t>20</w:t>
            </w:r>
            <w:r w:rsidR="00E131D8">
              <w:rPr>
                <w:noProof/>
                <w:webHidden/>
              </w:rPr>
              <w:fldChar w:fldCharType="end"/>
            </w:r>
          </w:hyperlink>
        </w:p>
        <w:p w14:paraId="4BE55385" w14:textId="3DFF90D7" w:rsidR="00E131D8" w:rsidRDefault="00F215D0">
          <w:pPr>
            <w:pStyle w:val="Inhopg3"/>
            <w:tabs>
              <w:tab w:val="right" w:leader="dot" w:pos="9062"/>
            </w:tabs>
            <w:rPr>
              <w:rFonts w:eastAsiaTheme="minorEastAsia"/>
              <w:noProof/>
              <w:lang w:eastAsia="nl-NL"/>
            </w:rPr>
          </w:pPr>
          <w:hyperlink w:anchor="_Toc43199646" w:history="1">
            <w:r w:rsidR="00E131D8" w:rsidRPr="00076AE3">
              <w:rPr>
                <w:rStyle w:val="Hyperlink"/>
                <w:noProof/>
              </w:rPr>
              <w:t>Tabel bewaartermijnen persoonsgegevens personeel</w:t>
            </w:r>
            <w:r w:rsidR="00E131D8">
              <w:rPr>
                <w:noProof/>
                <w:webHidden/>
              </w:rPr>
              <w:tab/>
            </w:r>
            <w:r w:rsidR="00E131D8">
              <w:rPr>
                <w:noProof/>
                <w:webHidden/>
              </w:rPr>
              <w:fldChar w:fldCharType="begin"/>
            </w:r>
            <w:r w:rsidR="00E131D8">
              <w:rPr>
                <w:noProof/>
                <w:webHidden/>
              </w:rPr>
              <w:instrText xml:space="preserve"> PAGEREF _Toc43199646 \h </w:instrText>
            </w:r>
            <w:r w:rsidR="00E131D8">
              <w:rPr>
                <w:noProof/>
                <w:webHidden/>
              </w:rPr>
            </w:r>
            <w:r w:rsidR="00E131D8">
              <w:rPr>
                <w:noProof/>
                <w:webHidden/>
              </w:rPr>
              <w:fldChar w:fldCharType="separate"/>
            </w:r>
            <w:r w:rsidR="00E131D8">
              <w:rPr>
                <w:noProof/>
                <w:webHidden/>
              </w:rPr>
              <w:t>22</w:t>
            </w:r>
            <w:r w:rsidR="00E131D8">
              <w:rPr>
                <w:noProof/>
                <w:webHidden/>
              </w:rPr>
              <w:fldChar w:fldCharType="end"/>
            </w:r>
          </w:hyperlink>
        </w:p>
        <w:p w14:paraId="37C1E989" w14:textId="456E3518" w:rsidR="00E131D8" w:rsidRDefault="00F215D0">
          <w:pPr>
            <w:pStyle w:val="Inhopg3"/>
            <w:tabs>
              <w:tab w:val="right" w:leader="dot" w:pos="9062"/>
            </w:tabs>
            <w:rPr>
              <w:rFonts w:eastAsiaTheme="minorEastAsia"/>
              <w:noProof/>
              <w:lang w:eastAsia="nl-NL"/>
            </w:rPr>
          </w:pPr>
          <w:hyperlink w:anchor="_Toc43199647" w:history="1">
            <w:r w:rsidR="00E131D8" w:rsidRPr="00076AE3">
              <w:rPr>
                <w:rStyle w:val="Hyperlink"/>
                <w:noProof/>
              </w:rPr>
              <w:t>Tabel bewaartermijnen persoonsgegevens sollicitanten</w:t>
            </w:r>
            <w:r w:rsidR="00E131D8">
              <w:rPr>
                <w:noProof/>
                <w:webHidden/>
              </w:rPr>
              <w:tab/>
            </w:r>
            <w:r w:rsidR="00E131D8">
              <w:rPr>
                <w:noProof/>
                <w:webHidden/>
              </w:rPr>
              <w:fldChar w:fldCharType="begin"/>
            </w:r>
            <w:r w:rsidR="00E131D8">
              <w:rPr>
                <w:noProof/>
                <w:webHidden/>
              </w:rPr>
              <w:instrText xml:space="preserve"> PAGEREF _Toc43199647 \h </w:instrText>
            </w:r>
            <w:r w:rsidR="00E131D8">
              <w:rPr>
                <w:noProof/>
                <w:webHidden/>
              </w:rPr>
            </w:r>
            <w:r w:rsidR="00E131D8">
              <w:rPr>
                <w:noProof/>
                <w:webHidden/>
              </w:rPr>
              <w:fldChar w:fldCharType="separate"/>
            </w:r>
            <w:r w:rsidR="00E131D8">
              <w:rPr>
                <w:noProof/>
                <w:webHidden/>
              </w:rPr>
              <w:t>25</w:t>
            </w:r>
            <w:r w:rsidR="00E131D8">
              <w:rPr>
                <w:noProof/>
                <w:webHidden/>
              </w:rPr>
              <w:fldChar w:fldCharType="end"/>
            </w:r>
          </w:hyperlink>
        </w:p>
        <w:p w14:paraId="25290CE8" w14:textId="72BB6437" w:rsidR="00E131D8" w:rsidRDefault="00F215D0">
          <w:pPr>
            <w:pStyle w:val="Inhopg3"/>
            <w:tabs>
              <w:tab w:val="right" w:leader="dot" w:pos="9062"/>
            </w:tabs>
            <w:rPr>
              <w:rFonts w:eastAsiaTheme="minorEastAsia"/>
              <w:noProof/>
              <w:lang w:eastAsia="nl-NL"/>
            </w:rPr>
          </w:pPr>
          <w:hyperlink w:anchor="_Toc43199648" w:history="1">
            <w:r w:rsidR="00E131D8" w:rsidRPr="00076AE3">
              <w:rPr>
                <w:rStyle w:val="Hyperlink"/>
                <w:noProof/>
              </w:rPr>
              <w:t>Tabel bewaartermijnen persoonsgegevens leveranciers</w:t>
            </w:r>
            <w:r w:rsidR="00E131D8">
              <w:rPr>
                <w:noProof/>
                <w:webHidden/>
              </w:rPr>
              <w:tab/>
            </w:r>
            <w:r w:rsidR="00E131D8">
              <w:rPr>
                <w:noProof/>
                <w:webHidden/>
              </w:rPr>
              <w:fldChar w:fldCharType="begin"/>
            </w:r>
            <w:r w:rsidR="00E131D8">
              <w:rPr>
                <w:noProof/>
                <w:webHidden/>
              </w:rPr>
              <w:instrText xml:space="preserve"> PAGEREF _Toc43199648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32E0D57B" w14:textId="5B496673" w:rsidR="00E131D8" w:rsidRDefault="00F215D0">
          <w:pPr>
            <w:pStyle w:val="Inhopg3"/>
            <w:tabs>
              <w:tab w:val="right" w:leader="dot" w:pos="9062"/>
            </w:tabs>
            <w:rPr>
              <w:rFonts w:eastAsiaTheme="minorEastAsia"/>
              <w:noProof/>
              <w:lang w:eastAsia="nl-NL"/>
            </w:rPr>
          </w:pPr>
          <w:hyperlink w:anchor="_Toc43199649" w:history="1">
            <w:r w:rsidR="00E131D8" w:rsidRPr="00076AE3">
              <w:rPr>
                <w:rStyle w:val="Hyperlink"/>
                <w:noProof/>
              </w:rPr>
              <w:t>Tabel bewaartermijnen persoonsgegevens huurders</w:t>
            </w:r>
            <w:r w:rsidR="00E131D8">
              <w:rPr>
                <w:noProof/>
                <w:webHidden/>
              </w:rPr>
              <w:tab/>
            </w:r>
            <w:r w:rsidR="00E131D8">
              <w:rPr>
                <w:noProof/>
                <w:webHidden/>
              </w:rPr>
              <w:fldChar w:fldCharType="begin"/>
            </w:r>
            <w:r w:rsidR="00E131D8">
              <w:rPr>
                <w:noProof/>
                <w:webHidden/>
              </w:rPr>
              <w:instrText xml:space="preserve"> PAGEREF _Toc43199649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766AA82C" w14:textId="70F5224B" w:rsidR="00E131D8" w:rsidRDefault="00F215D0">
          <w:pPr>
            <w:pStyle w:val="Inhopg3"/>
            <w:tabs>
              <w:tab w:val="right" w:leader="dot" w:pos="9062"/>
            </w:tabs>
            <w:rPr>
              <w:rFonts w:eastAsiaTheme="minorEastAsia"/>
              <w:noProof/>
              <w:lang w:eastAsia="nl-NL"/>
            </w:rPr>
          </w:pPr>
          <w:hyperlink w:anchor="_Toc43199650" w:history="1">
            <w:r w:rsidR="00E131D8" w:rsidRPr="00076AE3">
              <w:rPr>
                <w:rStyle w:val="Hyperlink"/>
                <w:noProof/>
              </w:rPr>
              <w:t>Tabel bewaartermijnen persoonsgegevens alle bovengenoemde categorieën en bezoekers</w:t>
            </w:r>
            <w:r w:rsidR="00E131D8">
              <w:rPr>
                <w:noProof/>
                <w:webHidden/>
              </w:rPr>
              <w:tab/>
            </w:r>
            <w:r w:rsidR="00E131D8">
              <w:rPr>
                <w:noProof/>
                <w:webHidden/>
              </w:rPr>
              <w:fldChar w:fldCharType="begin"/>
            </w:r>
            <w:r w:rsidR="00E131D8">
              <w:rPr>
                <w:noProof/>
                <w:webHidden/>
              </w:rPr>
              <w:instrText xml:space="preserve"> PAGEREF _Toc43199650 \h </w:instrText>
            </w:r>
            <w:r w:rsidR="00E131D8">
              <w:rPr>
                <w:noProof/>
                <w:webHidden/>
              </w:rPr>
            </w:r>
            <w:r w:rsidR="00E131D8">
              <w:rPr>
                <w:noProof/>
                <w:webHidden/>
              </w:rPr>
              <w:fldChar w:fldCharType="separate"/>
            </w:r>
            <w:r w:rsidR="00E131D8">
              <w:rPr>
                <w:noProof/>
                <w:webHidden/>
              </w:rPr>
              <w:t>27</w:t>
            </w:r>
            <w:r w:rsidR="00E131D8">
              <w:rPr>
                <w:noProof/>
                <w:webHidden/>
              </w:rPr>
              <w:fldChar w:fldCharType="end"/>
            </w:r>
          </w:hyperlink>
        </w:p>
        <w:p w14:paraId="47D67CCA" w14:textId="74C28DAD"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43199624"/>
      <w:bookmarkStart w:id="5" w:name="_Toc14095996"/>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&lt;ORGANISATIE&gt;</w:t>
      </w:r>
      <w:bookmarkEnd w:id="3"/>
      <w:bookmarkEnd w:id="4"/>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43199625"/>
      <w:r w:rsidRPr="00952612">
        <w:rPr>
          <w:rFonts w:eastAsiaTheme="majorEastAsia" w:cstheme="minorHAnsi"/>
          <w:b/>
          <w:sz w:val="32"/>
          <w:szCs w:val="26"/>
        </w:rPr>
        <w:t>1.</w:t>
      </w:r>
      <w:r w:rsidRPr="00952612">
        <w:rPr>
          <w:rFonts w:eastAsiaTheme="majorEastAsia" w:cstheme="minorHAnsi"/>
          <w:b/>
          <w:sz w:val="32"/>
          <w:szCs w:val="26"/>
        </w:rPr>
        <w:tab/>
        <w:t>Inleiding</w:t>
      </w:r>
      <w:bookmarkEnd w:id="5"/>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43199626"/>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183B34ED" w:rsidR="00952612" w:rsidRPr="00952612"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bepaalde doel of op basis van een wettelijke verplichting. Na het verstrijken van de bewaartermijn moeten de persoonsgegevens worden vernietigd. </w:t>
      </w: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43199627"/>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1B2E1E15" w:rsidR="00071E95" w:rsidRDefault="00071E95" w:rsidP="00071E95">
      <w:pPr>
        <w:spacing w:after="0" w:line="276" w:lineRule="auto"/>
        <w:jc w:val="both"/>
        <w:rPr>
          <w:rFonts w:cstheme="minorHAnsi"/>
          <w:vertAlign w:val="superscript"/>
        </w:rPr>
      </w:pPr>
      <w:r w:rsidRPr="00071E95">
        <w:rPr>
          <w:rFonts w:cstheme="minorHAnsi"/>
          <w:highlight w:val="yellow"/>
        </w:rPr>
        <w:t>&lt;ORGANISATIE&gt;</w:t>
      </w:r>
      <w:r w:rsidRPr="00071E95">
        <w:rPr>
          <w:rFonts w:cstheme="minorHAnsi"/>
        </w:rPr>
        <w:t xml:space="preserve"> gebruikt gegevens van medewerkers</w:t>
      </w:r>
      <w:r w:rsidR="00AD1642">
        <w:rPr>
          <w:rFonts w:cstheme="minorHAnsi"/>
        </w:rPr>
        <w:t xml:space="preserve"> en</w:t>
      </w:r>
      <w:r w:rsidRPr="00071E95">
        <w:rPr>
          <w:rFonts w:cstheme="minorHAnsi"/>
        </w:rPr>
        <w:t xml:space="preserve"> </w:t>
      </w:r>
      <w:r w:rsidR="00767673">
        <w:rPr>
          <w:rFonts w:cstheme="minorHAnsi"/>
          <w:highlight w:val="yellow"/>
        </w:rPr>
        <w:t>&lt;</w:t>
      </w:r>
      <w:r w:rsidRPr="00071E95">
        <w:rPr>
          <w:rFonts w:cstheme="minorHAnsi"/>
          <w:highlight w:val="yellow"/>
        </w:rPr>
        <w:t>andere betrokkenen</w:t>
      </w:r>
      <w:r w:rsidR="00767673" w:rsidRPr="00767673">
        <w:rPr>
          <w:rFonts w:cstheme="minorHAnsi"/>
          <w:highlight w:val="yellow"/>
        </w:rPr>
        <w:t>&gt;</w:t>
      </w:r>
      <w:r w:rsidRPr="00071E95">
        <w:rPr>
          <w:rFonts w:cstheme="minorHAnsi"/>
        </w:rPr>
        <w:t xml:space="preserve"> voor het uitvoeren van onder andere </w:t>
      </w:r>
      <w:r w:rsidR="00767673">
        <w:rPr>
          <w:rFonts w:cstheme="minorHAnsi"/>
          <w:highlight w:val="yellow"/>
        </w:rPr>
        <w:t>&lt;</w:t>
      </w:r>
      <w:r w:rsidRPr="00071E95">
        <w:rPr>
          <w:rFonts w:cstheme="minorHAnsi"/>
          <w:highlight w:val="yellow"/>
        </w:rPr>
        <w:t>activiteiten</w:t>
      </w:r>
      <w:r w:rsidR="00767673" w:rsidRPr="00767673">
        <w:rPr>
          <w:rFonts w:cstheme="minorHAnsi"/>
          <w:highlight w:val="yellow"/>
        </w:rPr>
        <w:t>&gt;</w:t>
      </w:r>
      <w:r w:rsidRPr="00071E95">
        <w:rPr>
          <w:rFonts w:cstheme="minorHAnsi"/>
        </w:rPr>
        <w:t>. 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55AF91BE"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91C0072"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0AF8CF8F"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Pr="00383818">
        <w:rPr>
          <w:rFonts w:cstheme="minorHAnsi"/>
          <w:highlight w:val="yellow"/>
        </w:rPr>
        <w:t>&lt;ORGANSATIE&gt;</w:t>
      </w:r>
      <w:r>
        <w:rPr>
          <w:rFonts w:cstheme="minorHAnsi"/>
        </w:rPr>
        <w:t xml:space="preserve"> wordt ook bijzondere persoonsgegevens bewaard van </w:t>
      </w:r>
      <w:r w:rsidRPr="0077246F">
        <w:rPr>
          <w:rFonts w:cstheme="minorHAnsi"/>
          <w:highlight w:val="yellow"/>
        </w:rPr>
        <w:t>&lt;betrokkenen&gt;</w:t>
      </w:r>
      <w:r>
        <w:rPr>
          <w:rFonts w:cstheme="minorHAnsi"/>
        </w:rPr>
        <w:t xml:space="preserve"> . </w:t>
      </w:r>
      <w:r w:rsidRPr="00383818">
        <w:rPr>
          <w:rFonts w:cstheme="minorHAnsi"/>
          <w:highlight w:val="yellow"/>
        </w:rPr>
        <w:t>&lt;ORGANSATIE&gt;</w:t>
      </w:r>
      <w:r>
        <w:rPr>
          <w:rFonts w:cstheme="minorHAnsi"/>
        </w:rPr>
        <w:t xml:space="preserve"> 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43199628"/>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43199629"/>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43199630"/>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9D85E0E"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1BC116B"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4649CB" w:rsidRPr="004649CB">
        <w:rPr>
          <w:rFonts w:cstheme="minorHAnsi"/>
          <w:highlight w:val="yellow"/>
        </w:rPr>
        <w:t>&lt;het onderwijs&gt;</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43199631"/>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43199632"/>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43199633"/>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75B7798D" w:rsidR="001C541F" w:rsidRDefault="001C541F" w:rsidP="00CB65F0">
      <w:pPr>
        <w:spacing w:after="0" w:line="276" w:lineRule="auto"/>
        <w:jc w:val="both"/>
        <w:rPr>
          <w:rFonts w:cstheme="minorHAnsi"/>
        </w:rPr>
      </w:pPr>
      <w:r w:rsidRPr="001C541F">
        <w:rPr>
          <w:rFonts w:cstheme="minorHAnsi"/>
        </w:rPr>
        <w:t xml:space="preserve">Dit betekent dat wanneer het </w:t>
      </w:r>
      <w:r w:rsidRPr="001C541F">
        <w:rPr>
          <w:rFonts w:cstheme="minorHAnsi"/>
          <w:highlight w:val="yellow"/>
        </w:rPr>
        <w:t>&lt;ORGANISATIE&gt;</w:t>
      </w:r>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0BF5C28E"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7084C6A1"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70D26975" w:rsidR="0027622C" w:rsidRPr="0027622C" w:rsidRDefault="003808E7"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43199634"/>
      <w:r>
        <w:rPr>
          <w:rFonts w:eastAsiaTheme="majorEastAsia" w:cstheme="minorHAnsi"/>
          <w:b/>
          <w:sz w:val="32"/>
          <w:szCs w:val="26"/>
        </w:rPr>
        <w:lastRenderedPageBreak/>
        <w:t>5</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6A5C960A" w:rsidR="0027622C" w:rsidRPr="0027622C" w:rsidRDefault="003808E7"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43199635"/>
      <w:r w:rsidRPr="00A05409">
        <w:rPr>
          <w:rFonts w:eastAsiaTheme="majorEastAsia" w:cstheme="minorHAnsi"/>
          <w:b/>
          <w:sz w:val="26"/>
          <w:szCs w:val="24"/>
        </w:rPr>
        <w:t>5</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5C9E3937" w:rsidR="0027622C" w:rsidRPr="0027622C" w:rsidRDefault="003808E7" w:rsidP="0027622C">
      <w:pPr>
        <w:keepNext/>
        <w:keepLines/>
        <w:spacing w:before="40" w:after="0" w:line="276" w:lineRule="auto"/>
        <w:outlineLvl w:val="3"/>
        <w:rPr>
          <w:rFonts w:eastAsiaTheme="majorEastAsia" w:cstheme="minorHAnsi"/>
          <w:b/>
          <w:iCs/>
        </w:rPr>
      </w:pPr>
      <w:r>
        <w:rPr>
          <w:rFonts w:eastAsiaTheme="majorEastAsia" w:cstheme="minorHAnsi"/>
          <w:b/>
          <w:iCs/>
        </w:rPr>
        <w:t>5</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7777777"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6273C94" w:rsidR="0027622C" w:rsidRPr="0027622C" w:rsidRDefault="003808E7"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5</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57C88C96" w:rsidR="00385DEA" w:rsidRPr="0027622C" w:rsidRDefault="003808E7" w:rsidP="00385DEA">
      <w:pPr>
        <w:keepNext/>
        <w:keepLines/>
        <w:spacing w:before="40" w:after="0" w:line="276" w:lineRule="auto"/>
        <w:outlineLvl w:val="2"/>
        <w:rPr>
          <w:rFonts w:eastAsiaTheme="majorEastAsia" w:cstheme="minorHAnsi"/>
          <w:b/>
          <w:sz w:val="26"/>
          <w:szCs w:val="24"/>
        </w:rPr>
      </w:pPr>
      <w:bookmarkStart w:id="67" w:name="_Toc43199636"/>
      <w:r>
        <w:rPr>
          <w:rFonts w:eastAsiaTheme="majorEastAsia" w:cstheme="minorHAnsi"/>
          <w:b/>
          <w:sz w:val="26"/>
          <w:szCs w:val="24"/>
        </w:rPr>
        <w:t>5</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26B46D7B" w:rsidR="00861C3F"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0A9C3250"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Pr="008F5AC5">
        <w:rPr>
          <w:highlight w:val="yellow"/>
        </w:rPr>
        <w:t>&lt;ORGANISATIE&gt;</w:t>
      </w:r>
      <w:r>
        <w:t xml:space="preserve"> gedragsregels en </w:t>
      </w:r>
      <w:r w:rsidR="00C87D84">
        <w:t xml:space="preserve">bepaalde uitgangspunten. Deze gedragsregels en uitgangspunten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0436F008" w:rsidR="00861C3F" w:rsidRPr="0027622C"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lastRenderedPageBreak/>
        <w:t>5</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6AD59F58" w:rsidR="006A7FCD" w:rsidRPr="0027622C" w:rsidRDefault="003808E7" w:rsidP="006A7FCD">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43199637"/>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43199638"/>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19C3B10F" w:rsidR="00B46983" w:rsidRDefault="00B46983" w:rsidP="00B46983">
      <w:pPr>
        <w:jc w:val="both"/>
      </w:pPr>
      <w:r>
        <w:t>Binnen [</w:t>
      </w:r>
      <w:r w:rsidRPr="00DE0FF3">
        <w:rPr>
          <w:highlight w:val="yellow"/>
        </w:rPr>
        <w:t>ORGANISATIE</w:t>
      </w:r>
      <w:r>
        <w:t>]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77777777" w:rsidR="00B46983"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 De vernietiging van data komt toe aan de afdeling [</w:t>
      </w:r>
      <w:r w:rsidRPr="00376384">
        <w:rPr>
          <w:highlight w:val="yellow"/>
        </w:rPr>
        <w:t>ICT/andere afdeling</w:t>
      </w:r>
      <w:r>
        <w:t>] van [</w:t>
      </w:r>
      <w:r w:rsidRPr="00376384">
        <w:rPr>
          <w:highlight w:val="yellow"/>
        </w:rPr>
        <w:t>ORGANISATIE</w:t>
      </w:r>
      <w:r>
        <w:t>] of een leverancier van ICT-middelen indien hiervoor goede afspraken en controlemaatregelen bestaan in bijvoorbeeld in een verwerkersovereenkomst. Afspraken over het vernietigen van data moeten afgedwongen en gecontroleerd kunnen worden zodat [</w:t>
      </w:r>
      <w:r w:rsidRPr="00376384">
        <w:rPr>
          <w:highlight w:val="yellow"/>
        </w:rPr>
        <w:t>ORGANISATIE</w:t>
      </w:r>
      <w:r>
        <w:t xml:space="preserve">] 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B9EFF3C"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77777777"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bitpatroon</w:t>
      </w:r>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logging</w:t>
      </w:r>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lastRenderedPageBreak/>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43199639"/>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43199640"/>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43199641"/>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43199642"/>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22C4FF67" w:rsidR="00385DEA" w:rsidRDefault="00385DEA" w:rsidP="00385DEA">
      <w:pPr>
        <w:jc w:val="both"/>
        <w:rPr>
          <w:rFonts w:cstheme="minorHAnsi"/>
        </w:rPr>
      </w:pPr>
      <w:r w:rsidRPr="00173FC9">
        <w:rPr>
          <w:rFonts w:cstheme="minorHAnsi"/>
        </w:rPr>
        <w:t xml:space="preserve">Hieronder </w:t>
      </w:r>
      <w:r w:rsidR="0004185C">
        <w:rPr>
          <w:rFonts w:cstheme="minorHAnsi"/>
        </w:rPr>
        <w:t>is de Archiewet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62A6CCB" w:rsidR="003808E7" w:rsidRDefault="0004185C" w:rsidP="00B46983">
      <w:pPr>
        <w:spacing w:after="240"/>
        <w:jc w:val="both"/>
        <w:rPr>
          <w:rFonts w:cstheme="minorHAnsi"/>
          <w:highlight w:val="cyan"/>
        </w:rPr>
        <w:sectPr w:rsidR="003808E7">
          <w:footerReference w:type="default" r:id="rId12"/>
          <w:pgSz w:w="11906" w:h="16838"/>
          <w:pgMar w:top="1417" w:right="1417" w:bottom="1417" w:left="1417" w:header="708" w:footer="708" w:gutter="0"/>
          <w:cols w:space="708"/>
          <w:docGrid w:linePitch="360"/>
        </w:sectPr>
      </w:pPr>
      <w:r w:rsidRPr="00A64A1C">
        <w:rPr>
          <w:b/>
          <w:bCs/>
        </w:rPr>
        <w:t xml:space="preserve">Er wordt tot er een basisselectiedocument is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en diploma’s en (eindexamen)cijferlijsten  te vernietigen.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43199643"/>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2262A617"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007A638E" w:rsidR="003808E7" w:rsidRDefault="004E6180" w:rsidP="004E6180">
      <w:pPr>
        <w:spacing w:after="0" w:line="276" w:lineRule="auto"/>
        <w:jc w:val="both"/>
        <w:rPr>
          <w:rFonts w:cstheme="minorHAnsi"/>
        </w:rPr>
      </w:pPr>
      <w:r w:rsidRPr="004E6180">
        <w:rPr>
          <w:rFonts w:cstheme="minorHAnsi"/>
        </w:rPr>
        <w:t xml:space="preserve">Ook wordt in kolom 3 vaak verwezen naar de Wet bescherming persoonsgegevens (Wbp) die reeds vervallen is samen met het daarbij horende Vrijstellingsbesluit. De concrete bewaartermijnen die bij deze vervallen wet zijn vastgesteld blijven relevant vanwege de afweging die de wetgever destijds heeft gemaakt 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43199644"/>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279"/>
        <w:gridCol w:w="2551"/>
        <w:gridCol w:w="1276"/>
        <w:gridCol w:w="4536"/>
        <w:gridCol w:w="1559"/>
        <w:gridCol w:w="1843"/>
        <w:gridCol w:w="1843"/>
      </w:tblGrid>
      <w:tr w:rsidR="00AB428D" w14:paraId="5E636578" w14:textId="77777777" w:rsidTr="00AB428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 w:type="dxa"/>
          </w:tcPr>
          <w:p w14:paraId="4C10F836" w14:textId="77777777" w:rsidR="00AB428D" w:rsidRDefault="00AB428D" w:rsidP="00E90C47"/>
        </w:tc>
        <w:tc>
          <w:tcPr>
            <w:tcW w:w="2551"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26389C8A" w14:textId="77777777" w:rsidR="00AB428D" w:rsidRDefault="00AB428D" w:rsidP="00E90C47">
            <w:pPr>
              <w:jc w:val="center"/>
            </w:pPr>
            <w:r>
              <w:t>1</w:t>
            </w:r>
          </w:p>
        </w:tc>
        <w:tc>
          <w:tcPr>
            <w:tcW w:w="2551"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1276"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CBBFF96" w14:textId="04C6B044"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maximaal </w:t>
            </w:r>
            <w:r w:rsidR="00E943C8">
              <w:t>5</w:t>
            </w:r>
            <w:r>
              <w:t xml:space="preserve"> jaar</w:t>
            </w:r>
          </w:p>
          <w:p w14:paraId="2348E62D" w14:textId="393787F9"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E943C8">
              <w:t xml:space="preserve">art. </w:t>
            </w:r>
            <w:r w:rsidR="003D4B4A">
              <w:t xml:space="preserve">20 </w:t>
            </w:r>
            <w:r w:rsidR="008949CB">
              <w:t>W</w:t>
            </w:r>
            <w:r w:rsidR="003D4B4A">
              <w:t xml:space="preserve">et </w:t>
            </w:r>
            <w:r w:rsidR="008949CB">
              <w:t>r</w:t>
            </w:r>
            <w:r w:rsidR="003D4B4A">
              <w:t>egist</w:t>
            </w:r>
            <w:r w:rsidR="00DC0355">
              <w:t>er</w:t>
            </w:r>
            <w:r w:rsidR="003D4B4A">
              <w:t xml:space="preserve"> </w:t>
            </w:r>
            <w:r w:rsidR="008949CB">
              <w:t>o</w:t>
            </w:r>
            <w:r w:rsidR="003D4B4A">
              <w:t>nderwijsdeelnemers</w:t>
            </w:r>
            <w:r>
              <w:t>)</w:t>
            </w:r>
          </w:p>
        </w:tc>
        <w:tc>
          <w:tcPr>
            <w:tcW w:w="1559"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3D4B4A" w14:paraId="7EA763A4"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0ADA6112" w14:textId="77777777" w:rsidR="003D4B4A" w:rsidRDefault="003D4B4A" w:rsidP="003D4B4A">
            <w:pPr>
              <w:jc w:val="center"/>
            </w:pPr>
            <w:r>
              <w:t>2</w:t>
            </w:r>
          </w:p>
        </w:tc>
        <w:tc>
          <w:tcPr>
            <w:tcW w:w="2551" w:type="dxa"/>
          </w:tcPr>
          <w:p w14:paraId="76CAA5EF" w14:textId="2F51A2A2" w:rsidR="003D4B4A" w:rsidRDefault="003D4B4A" w:rsidP="003D4B4A">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rsidR="0087790B">
              <w:t xml:space="preserve"> (Dit is afhankelijk van of </w:t>
            </w:r>
            <w:r w:rsidR="00525017">
              <w:t>de</w:t>
            </w:r>
            <w:r w:rsidR="008C170B">
              <w:t>ze</w:t>
            </w:r>
            <w:r w:rsidR="00525017">
              <w:t xml:space="preserve"> gegevens </w:t>
            </w:r>
            <w:r w:rsidR="0087790B">
              <w:t>kwalifice</w:t>
            </w:r>
            <w:r w:rsidR="00525017">
              <w:t>ren</w:t>
            </w:r>
            <w:r w:rsidR="0087790B">
              <w:t xml:space="preserve"> als </w:t>
            </w:r>
            <w:r w:rsidR="0087790B">
              <w:lastRenderedPageBreak/>
              <w:t>basisgegevens van de leerling)</w:t>
            </w:r>
            <w:r w:rsidR="008C170B">
              <w:rPr>
                <w:rStyle w:val="Voetnootmarkering"/>
              </w:rPr>
              <w:footnoteReference w:id="7"/>
            </w:r>
          </w:p>
        </w:tc>
        <w:tc>
          <w:tcPr>
            <w:tcW w:w="1276" w:type="dxa"/>
          </w:tcPr>
          <w:p w14:paraId="574CBD15"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lastRenderedPageBreak/>
              <w:t>d</w:t>
            </w:r>
            <w:r w:rsidRPr="00F46857">
              <w:t>atum van uitschrijving</w:t>
            </w:r>
          </w:p>
        </w:tc>
        <w:tc>
          <w:tcPr>
            <w:tcW w:w="4536" w:type="dxa"/>
          </w:tcPr>
          <w:p w14:paraId="579C819B" w14:textId="0DC0CDD6" w:rsidR="00BF2B5D" w:rsidRPr="00BF2B5D" w:rsidRDefault="00BF2B5D" w:rsidP="00BF2B5D">
            <w:pPr>
              <w:cnfStyle w:val="000000000000" w:firstRow="0" w:lastRow="0" w:firstColumn="0" w:lastColumn="0" w:oddVBand="0" w:evenVBand="0" w:oddHBand="0" w:evenHBand="0" w:firstRowFirstColumn="0" w:firstRowLastColumn="0" w:lastRowFirstColumn="0" w:lastRowLastColumn="0"/>
            </w:pPr>
            <w:r w:rsidRPr="00BF2B5D">
              <w:t>m</w:t>
            </w:r>
            <w:r w:rsidR="008949CB">
              <w:t>inimaal</w:t>
            </w:r>
            <w:r w:rsidRPr="00BF2B5D">
              <w:t xml:space="preserve"> 2 jaar</w:t>
            </w:r>
          </w:p>
          <w:p w14:paraId="046CA276" w14:textId="30972243" w:rsidR="003D4B4A" w:rsidRDefault="00BF2B5D" w:rsidP="00BF2B5D">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rsidR="008949CB">
              <w:t xml:space="preserve"> tot maximaal 5 jaar (art. 20 Wet regist</w:t>
            </w:r>
            <w:r w:rsidR="00DC0355">
              <w:t xml:space="preserve">er </w:t>
            </w:r>
            <w:r w:rsidR="008949CB">
              <w:t>onderwijsdeelnemers)</w:t>
            </w:r>
          </w:p>
        </w:tc>
        <w:tc>
          <w:tcPr>
            <w:tcW w:w="1559" w:type="dxa"/>
          </w:tcPr>
          <w:p w14:paraId="56A13A3E"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445144"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76A68336" w14:textId="77777777" w:rsidR="00AB428D" w:rsidRDefault="00AB428D" w:rsidP="00E90C47">
            <w:pPr>
              <w:jc w:val="center"/>
            </w:pPr>
            <w:r>
              <w:t>3</w:t>
            </w:r>
          </w:p>
        </w:tc>
        <w:tc>
          <w:tcPr>
            <w:tcW w:w="2551"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1276"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7B72D0D9" w14:textId="77777777" w:rsidR="00903B98" w:rsidRDefault="00903B98" w:rsidP="00903B98">
            <w:pPr>
              <w:cnfStyle w:val="000000100000" w:firstRow="0" w:lastRow="0" w:firstColumn="0" w:lastColumn="0" w:oddVBand="0" w:evenVBand="0" w:oddHBand="1" w:evenHBand="0" w:firstRowFirstColumn="0" w:firstRowLastColumn="0" w:lastRowFirstColumn="0" w:lastRowLastColumn="0"/>
            </w:pPr>
            <w:r>
              <w:t>maximaal 5 jaar</w:t>
            </w:r>
          </w:p>
          <w:p w14:paraId="548F05E0" w14:textId="5D68F7D7" w:rsidR="00AB428D" w:rsidRDefault="008949CB" w:rsidP="00903B98">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659564FD" w14:textId="77777777" w:rsidR="00AB428D" w:rsidRDefault="00AB428D" w:rsidP="00E90C47">
            <w:pPr>
              <w:jc w:val="center"/>
            </w:pPr>
            <w:r>
              <w:t>4</w:t>
            </w:r>
          </w:p>
        </w:tc>
        <w:tc>
          <w:tcPr>
            <w:tcW w:w="2551" w:type="dxa"/>
          </w:tcPr>
          <w:p w14:paraId="2F501CEC" w14:textId="6621378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w:t>
            </w:r>
            <w:r w:rsidR="00FA3194">
              <w:t xml:space="preserve"> (cijfers)</w:t>
            </w:r>
            <w:r w:rsidRPr="00473D8D">
              <w:t xml:space="preserve"> van het centraal examen en de re-kentoets</w:t>
            </w:r>
          </w:p>
        </w:tc>
        <w:tc>
          <w:tcPr>
            <w:tcW w:w="1276"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4536" w:type="dxa"/>
          </w:tcPr>
          <w:p w14:paraId="24B257B3" w14:textId="77777777" w:rsidR="00FA3194" w:rsidRDefault="00FA3194" w:rsidP="00FA3194">
            <w:pPr>
              <w:cnfStyle w:val="000000000000" w:firstRow="0" w:lastRow="0" w:firstColumn="0" w:lastColumn="0" w:oddVBand="0" w:evenVBand="0" w:oddHBand="0" w:evenHBand="0" w:firstRowFirstColumn="0" w:firstRowLastColumn="0" w:lastRowFirstColumn="0" w:lastRowLastColumn="0"/>
            </w:pPr>
            <w:r>
              <w:t>maximaal 5 jaar</w:t>
            </w:r>
          </w:p>
          <w:p w14:paraId="4C1D5057" w14:textId="3CF3EE85" w:rsidR="00AB428D" w:rsidRDefault="008949CB" w:rsidP="00FA3194">
            <w:pPr>
              <w:cnfStyle w:val="000000000000" w:firstRow="0" w:lastRow="0" w:firstColumn="0" w:lastColumn="0" w:oddVBand="0" w:evenVBand="0" w:oddHBand="0" w:evenHBand="0" w:firstRowFirstColumn="0" w:firstRowLastColumn="0" w:lastRowFirstColumn="0" w:lastRowLastColumn="0"/>
            </w:pPr>
            <w:r>
              <w:t>(art. 20 Wet regis</w:t>
            </w:r>
            <w:r w:rsidR="00DC0355">
              <w:t>ter</w:t>
            </w:r>
            <w:r>
              <w:t xml:space="preserve"> onderwijsdeelnemers)</w:t>
            </w:r>
          </w:p>
        </w:tc>
        <w:tc>
          <w:tcPr>
            <w:tcW w:w="1559"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563DA439" w14:textId="77777777" w:rsidR="00AB428D" w:rsidRDefault="00AB428D" w:rsidP="00E90C47">
            <w:pPr>
              <w:jc w:val="center"/>
            </w:pPr>
            <w:r>
              <w:t>5</w:t>
            </w:r>
          </w:p>
        </w:tc>
        <w:tc>
          <w:tcPr>
            <w:tcW w:w="2551"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1276"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3AD96040" w14:textId="77777777" w:rsidR="006674EB" w:rsidRDefault="006674EB" w:rsidP="006674EB">
            <w:pPr>
              <w:cnfStyle w:val="000000100000" w:firstRow="0" w:lastRow="0" w:firstColumn="0" w:lastColumn="0" w:oddVBand="0" w:evenVBand="0" w:oddHBand="1" w:evenHBand="0" w:firstRowFirstColumn="0" w:firstRowLastColumn="0" w:lastRowFirstColumn="0" w:lastRowLastColumn="0"/>
            </w:pPr>
            <w:r>
              <w:t>maximaal 5 jaar</w:t>
            </w:r>
          </w:p>
          <w:p w14:paraId="43326630" w14:textId="052B9656" w:rsidR="00AB428D" w:rsidRDefault="008949CB" w:rsidP="006674EB">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7FADC068" w14:textId="77777777" w:rsidR="00AB428D" w:rsidRDefault="00AB428D" w:rsidP="00E90C47">
            <w:pPr>
              <w:jc w:val="center"/>
            </w:pPr>
            <w:r>
              <w:t>6</w:t>
            </w:r>
          </w:p>
        </w:tc>
        <w:tc>
          <w:tcPr>
            <w:tcW w:w="2551" w:type="dxa"/>
          </w:tcPr>
          <w:p w14:paraId="000302F3" w14:textId="6D5AD629"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r w:rsidR="00D015E2">
              <w:t xml:space="preserve"> (Dit is afhankelijk van of het psychologisch rapport</w:t>
            </w:r>
            <w:r w:rsidR="0087790B">
              <w:t xml:space="preserve"> </w:t>
            </w:r>
            <w:r w:rsidR="00D015E2">
              <w:t xml:space="preserve">kwalificeert als </w:t>
            </w:r>
            <w:r w:rsidR="0087790B">
              <w:t>basisgegeven van de leerling)</w:t>
            </w:r>
          </w:p>
          <w:p w14:paraId="47BB5B87" w14:textId="13BCF151" w:rsidR="004365F9" w:rsidRDefault="004365F9" w:rsidP="00E90C47">
            <w:pPr>
              <w:cnfStyle w:val="000000000000" w:firstRow="0" w:lastRow="0" w:firstColumn="0" w:lastColumn="0" w:oddVBand="0" w:evenVBand="0" w:oddHBand="0" w:evenHBand="0" w:firstRowFirstColumn="0" w:firstRowLastColumn="0" w:lastRowFirstColumn="0" w:lastRowLastColumn="0"/>
            </w:pPr>
          </w:p>
        </w:tc>
        <w:tc>
          <w:tcPr>
            <w:tcW w:w="1276"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t>datum van uitschrijving</w:t>
            </w:r>
          </w:p>
        </w:tc>
        <w:tc>
          <w:tcPr>
            <w:tcW w:w="4536" w:type="dxa"/>
          </w:tcPr>
          <w:p w14:paraId="3ECBA509" w14:textId="77777777" w:rsidR="008949CB" w:rsidRPr="00BF2B5D" w:rsidRDefault="008949CB" w:rsidP="008949CB">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5B2876F0" w14:textId="3487CDDC" w:rsidR="00AB428D" w:rsidRDefault="008949CB" w:rsidP="008949CB">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t xml:space="preserve"> tot maximaal 5 jaar (art. 20 Wet regist</w:t>
            </w:r>
            <w:r w:rsidR="00DC0355">
              <w:t>er</w:t>
            </w:r>
            <w:r>
              <w:t xml:space="preserve"> onderwijsdeelnemers)</w:t>
            </w:r>
          </w:p>
        </w:tc>
        <w:tc>
          <w:tcPr>
            <w:tcW w:w="1559"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9D0534" w14:paraId="432D5335"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305EF1B4" w14:textId="77777777" w:rsidR="009D0534" w:rsidRDefault="009D0534" w:rsidP="009D0534">
            <w:pPr>
              <w:jc w:val="center"/>
            </w:pPr>
            <w:r>
              <w:t>7</w:t>
            </w:r>
          </w:p>
        </w:tc>
        <w:tc>
          <w:tcPr>
            <w:tcW w:w="2551" w:type="dxa"/>
          </w:tcPr>
          <w:p w14:paraId="456B4A20"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1276" w:type="dxa"/>
          </w:tcPr>
          <w:p w14:paraId="40078F42"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4536" w:type="dxa"/>
          </w:tcPr>
          <w:p w14:paraId="3BE3F50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maximaal 5 jaar</w:t>
            </w:r>
          </w:p>
          <w:p w14:paraId="5C24C8EF" w14:textId="4BB7FAB7" w:rsidR="009D0534" w:rsidRDefault="008949CB" w:rsidP="009D0534">
            <w:pPr>
              <w:cnfStyle w:val="000000100000" w:firstRow="0" w:lastRow="0" w:firstColumn="0" w:lastColumn="0" w:oddVBand="0" w:evenVBand="0" w:oddHBand="1" w:evenHBand="0" w:firstRowFirstColumn="0" w:firstRowLastColumn="0" w:lastRowFirstColumn="0" w:lastRowLastColumn="0"/>
            </w:pPr>
            <w:r>
              <w:t>(art. 20 Wet regist</w:t>
            </w:r>
            <w:r w:rsidR="00DC0355">
              <w:t xml:space="preserve">er </w:t>
            </w:r>
            <w:r>
              <w:t>onderwijsdeelnemers)</w:t>
            </w:r>
          </w:p>
        </w:tc>
        <w:tc>
          <w:tcPr>
            <w:tcW w:w="1559" w:type="dxa"/>
          </w:tcPr>
          <w:p w14:paraId="0A3D6E1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B52618"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3CDDFA69" w14:textId="77777777" w:rsidR="00AB428D" w:rsidRDefault="00AB428D" w:rsidP="00E90C47">
            <w:pPr>
              <w:jc w:val="center"/>
            </w:pPr>
            <w:r>
              <w:t>8</w:t>
            </w:r>
          </w:p>
        </w:tc>
        <w:tc>
          <w:tcPr>
            <w:tcW w:w="2551"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1276"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4536" w:type="dxa"/>
          </w:tcPr>
          <w:p w14:paraId="03847C94" w14:textId="77777777" w:rsidR="00AB428D" w:rsidRPr="00BE0B10" w:rsidRDefault="00AB428D" w:rsidP="00E90C47">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BE0B10">
              <w:rPr>
                <w:color w:val="FF0000"/>
              </w:rPr>
              <w:t>(art. 32 lid 6 en art. 34 lid 5 Vrijstellings-besluit Wbp oud)</w:t>
            </w:r>
          </w:p>
        </w:tc>
        <w:tc>
          <w:tcPr>
            <w:tcW w:w="1559"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0B91732B" w14:textId="77777777" w:rsidR="00AB428D" w:rsidRDefault="00AB428D" w:rsidP="00E90C47">
            <w:pPr>
              <w:jc w:val="center"/>
            </w:pPr>
            <w:r>
              <w:t>9</w:t>
            </w:r>
          </w:p>
        </w:tc>
        <w:tc>
          <w:tcPr>
            <w:tcW w:w="2551" w:type="dxa"/>
          </w:tcPr>
          <w:p w14:paraId="65FBF65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E271B0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0D450C8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2E59CCEC" w14:textId="77777777" w:rsidR="00AB428D" w:rsidRDefault="00AB428D" w:rsidP="00E90C47">
            <w:pPr>
              <w:jc w:val="center"/>
            </w:pPr>
            <w:r>
              <w:t>10</w:t>
            </w:r>
          </w:p>
        </w:tc>
        <w:tc>
          <w:tcPr>
            <w:tcW w:w="2551" w:type="dxa"/>
          </w:tcPr>
          <w:p w14:paraId="4617527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07C2E20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5A657DE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43199645"/>
      <w:r>
        <w:lastRenderedPageBreak/>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428D" w14:paraId="7D06FB1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268"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268"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1276"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4536" w:type="dxa"/>
          </w:tcPr>
          <w:p w14:paraId="4363204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minimaal 7 jaar</w:t>
            </w:r>
          </w:p>
          <w:p w14:paraId="4CDADF0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103a lid 3 Wvo) </w:t>
            </w:r>
            <w:r w:rsidRPr="00486DB5">
              <w:rPr>
                <w:color w:val="FF0000"/>
              </w:rPr>
              <w:t>Let op: verplichte wettelijke termijn!</w:t>
            </w:r>
          </w:p>
        </w:tc>
        <w:tc>
          <w:tcPr>
            <w:tcW w:w="1559"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7770D1" w14:paraId="4D30CB8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7770D1" w:rsidRDefault="007770D1" w:rsidP="007770D1">
            <w:pPr>
              <w:jc w:val="center"/>
            </w:pPr>
            <w:r>
              <w:t>2</w:t>
            </w:r>
          </w:p>
        </w:tc>
        <w:tc>
          <w:tcPr>
            <w:tcW w:w="2268" w:type="dxa"/>
          </w:tcPr>
          <w:p w14:paraId="4A92F2B9"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1276" w:type="dxa"/>
          </w:tcPr>
          <w:p w14:paraId="02767C87"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2D31E6E0"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maximaal 5 jaar</w:t>
            </w:r>
          </w:p>
          <w:p w14:paraId="4335B210" w14:textId="571823EE" w:rsidR="007770D1" w:rsidRDefault="007770D1" w:rsidP="007770D1">
            <w:pPr>
              <w:cnfStyle w:val="000000000000" w:firstRow="0" w:lastRow="0" w:firstColumn="0" w:lastColumn="0" w:oddVBand="0" w:evenVBand="0" w:oddHBand="0" w:evenHBand="0" w:firstRowFirstColumn="0" w:firstRowLastColumn="0" w:lastRowFirstColumn="0" w:lastRowLastColumn="0"/>
            </w:pPr>
            <w:r>
              <w:t xml:space="preserve">(art. 20 </w:t>
            </w:r>
            <w:r w:rsidR="0080235D">
              <w:t>W</w:t>
            </w:r>
            <w:r>
              <w:t xml:space="preserve">et </w:t>
            </w:r>
            <w:r w:rsidR="0080235D">
              <w:t>r</w:t>
            </w:r>
            <w:r>
              <w:t>egis</w:t>
            </w:r>
            <w:r w:rsidR="00DC0355">
              <w:t xml:space="preserve">ter </w:t>
            </w:r>
            <w:r w:rsidR="0080235D">
              <w:t>o</w:t>
            </w:r>
            <w:r>
              <w:t>nderwijsdeelnemers)</w:t>
            </w:r>
          </w:p>
        </w:tc>
        <w:tc>
          <w:tcPr>
            <w:tcW w:w="1559" w:type="dxa"/>
          </w:tcPr>
          <w:p w14:paraId="7DFCF26A"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BECCE35"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r>
      <w:tr w:rsidR="00A574E4" w14:paraId="150E9E1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574E4" w:rsidRDefault="00A574E4" w:rsidP="00A574E4">
            <w:pPr>
              <w:jc w:val="center"/>
            </w:pPr>
            <w:r>
              <w:t>3</w:t>
            </w:r>
          </w:p>
        </w:tc>
        <w:tc>
          <w:tcPr>
            <w:tcW w:w="2268" w:type="dxa"/>
          </w:tcPr>
          <w:p w14:paraId="7AEB16A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1276" w:type="dxa"/>
          </w:tcPr>
          <w:p w14:paraId="27CFED1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9FC0E09"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maximaal 5 jaar</w:t>
            </w:r>
          </w:p>
          <w:p w14:paraId="6FE15F18" w14:textId="718586F4" w:rsidR="00A574E4" w:rsidRDefault="00A574E4" w:rsidP="00A574E4">
            <w:pPr>
              <w:cnfStyle w:val="000000100000" w:firstRow="0" w:lastRow="0" w:firstColumn="0" w:lastColumn="0" w:oddVBand="0" w:evenVBand="0" w:oddHBand="1" w:evenHBand="0" w:firstRowFirstColumn="0" w:firstRowLastColumn="0" w:lastRowFirstColumn="0" w:lastRowLastColumn="0"/>
            </w:pPr>
            <w:r>
              <w:t xml:space="preserve">(art. 20 </w:t>
            </w:r>
            <w:r w:rsidR="0080235D">
              <w:t>W</w:t>
            </w:r>
            <w:r>
              <w:t xml:space="preserve">et </w:t>
            </w:r>
            <w:r w:rsidR="0080235D">
              <w:t>r</w:t>
            </w:r>
            <w:r>
              <w:t>egist</w:t>
            </w:r>
            <w:r w:rsidR="00DC0355">
              <w:t>er</w:t>
            </w:r>
            <w:r>
              <w:t xml:space="preserve"> </w:t>
            </w:r>
            <w:r w:rsidR="0080235D">
              <w:t>o</w:t>
            </w:r>
            <w:r>
              <w:t>nderwijsdeelnemers)</w:t>
            </w:r>
          </w:p>
        </w:tc>
        <w:tc>
          <w:tcPr>
            <w:tcW w:w="1559" w:type="dxa"/>
          </w:tcPr>
          <w:p w14:paraId="340A20B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395F63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41D36D8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574E4" w:rsidRDefault="00A574E4" w:rsidP="00A574E4">
            <w:pPr>
              <w:jc w:val="center"/>
            </w:pPr>
            <w:r>
              <w:t>4</w:t>
            </w:r>
          </w:p>
        </w:tc>
        <w:tc>
          <w:tcPr>
            <w:tcW w:w="2268" w:type="dxa"/>
          </w:tcPr>
          <w:p w14:paraId="7DD2AF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A447FB">
              <w:t>Gegevens met betrekking tot de vergoeding van de kosten verbonden aan leerlingvervoer</w:t>
            </w:r>
          </w:p>
        </w:tc>
        <w:tc>
          <w:tcPr>
            <w:tcW w:w="1276" w:type="dxa"/>
          </w:tcPr>
          <w:p w14:paraId="16B1CF2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4536" w:type="dxa"/>
          </w:tcPr>
          <w:p w14:paraId="3E6526F2" w14:textId="77777777" w:rsidR="00A574E4" w:rsidRPr="00BE0B10" w:rsidRDefault="00A574E4" w:rsidP="00A574E4">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4993DD9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BE0B10">
              <w:rPr>
                <w:color w:val="FF0000"/>
              </w:rPr>
              <w:t>(art. 21 lid 5 Vrijstellingsbesluit Wbp oud)</w:t>
            </w:r>
          </w:p>
        </w:tc>
        <w:tc>
          <w:tcPr>
            <w:tcW w:w="1559" w:type="dxa"/>
          </w:tcPr>
          <w:p w14:paraId="48A8D53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008F714"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1EE67E3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574E4" w:rsidRDefault="00A574E4" w:rsidP="00A574E4">
            <w:pPr>
              <w:jc w:val="center"/>
            </w:pPr>
            <w:r>
              <w:t>5</w:t>
            </w:r>
          </w:p>
        </w:tc>
        <w:tc>
          <w:tcPr>
            <w:tcW w:w="2268" w:type="dxa"/>
          </w:tcPr>
          <w:p w14:paraId="73C500E6"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1276" w:type="dxa"/>
          </w:tcPr>
          <w:p w14:paraId="67C068C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B803916"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p w14:paraId="611AF3EE"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(art. 41 lid 5 Vrijstellingsbesluit Wbp oud)</w:t>
            </w:r>
          </w:p>
        </w:tc>
        <w:tc>
          <w:tcPr>
            <w:tcW w:w="1559" w:type="dxa"/>
          </w:tcPr>
          <w:p w14:paraId="620CE3BA"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389307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2408014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574E4" w:rsidRDefault="00A574E4" w:rsidP="00A574E4">
            <w:pPr>
              <w:jc w:val="center"/>
            </w:pPr>
            <w:r>
              <w:t>6</w:t>
            </w:r>
          </w:p>
        </w:tc>
        <w:tc>
          <w:tcPr>
            <w:tcW w:w="2268" w:type="dxa"/>
          </w:tcPr>
          <w:p w14:paraId="760FEAC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5BAF251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692FD2B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6AB419D0"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A4F1E2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33544664"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574E4" w:rsidRDefault="00A574E4" w:rsidP="00A574E4">
            <w:pPr>
              <w:jc w:val="center"/>
            </w:pPr>
            <w:r>
              <w:lastRenderedPageBreak/>
              <w:t>7</w:t>
            </w:r>
          </w:p>
        </w:tc>
        <w:tc>
          <w:tcPr>
            <w:tcW w:w="2268" w:type="dxa"/>
          </w:tcPr>
          <w:p w14:paraId="62525E3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CF61BB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5890D40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4722E703"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05291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61774E3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574E4" w:rsidRDefault="00A574E4" w:rsidP="00A574E4">
            <w:pPr>
              <w:jc w:val="center"/>
            </w:pPr>
            <w:r>
              <w:t>8</w:t>
            </w:r>
          </w:p>
        </w:tc>
        <w:tc>
          <w:tcPr>
            <w:tcW w:w="2268" w:type="dxa"/>
          </w:tcPr>
          <w:p w14:paraId="537126F1"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36EFC4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27603FE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280772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680523"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43199646"/>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D9D9FA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30342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06791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105044E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B7664B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8035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1C7E7D">
              <w:t>datum waarop aanspraken zijn geëindigd</w:t>
            </w:r>
          </w:p>
        </w:tc>
        <w:tc>
          <w:tcPr>
            <w:tcW w:w="4536" w:type="dxa"/>
          </w:tcPr>
          <w:p w14:paraId="16E854A0" w14:textId="77777777" w:rsidR="00AB26E6"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maximaal 2 jaar</w:t>
            </w:r>
          </w:p>
          <w:p w14:paraId="6A034DF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 xml:space="preserve">(art. 9 lid 5 Vrijstellingsbesluit Wbp </w:t>
            </w:r>
            <w:r w:rsidRPr="00AB26E6">
              <w:rPr>
                <w:rFonts w:cs="Arial"/>
                <w:iCs/>
                <w:color w:val="000000" w:themeColor="text1"/>
              </w:rPr>
              <w:t>oud</w:t>
            </w:r>
            <w:r>
              <w:rPr>
                <w:rFonts w:cs="Arial"/>
                <w:color w:val="000000" w:themeColor="text1"/>
              </w:rP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1F91BA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0CA6B50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AD8818F" w14:textId="77777777" w:rsidR="00AB26E6" w:rsidRPr="00EC4FAA"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C4FAA">
              <w:rPr>
                <w:rFonts w:cs="Arial"/>
                <w:color w:val="000000" w:themeColor="text1"/>
              </w:rPr>
              <w:t>maximaal 2 jaar</w:t>
            </w:r>
          </w:p>
          <w:p w14:paraId="3EEF40B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EC4FAA">
              <w:rPr>
                <w:rFonts w:cs="Arial"/>
                <w:color w:val="000000" w:themeColor="text1"/>
              </w:rPr>
              <w:t>(art. 7 lid 5 Vrijstellingsbesluit Wbp oud)</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9 lid 5 Vrijstellingsbesluit Wbp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lastRenderedPageBreak/>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Verslagen functionerings- en beoordelings-gesprekken</w:t>
            </w:r>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Verzuimregistratie als werkgever eigenrisi-codrager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minimaal 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De bedrijfsarts moet de gegevens minimaal 10 jaar bewaren. In verband met eigenrisicodragerschap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eigenrisicodragen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 xml:space="preserve">Verslaglegging van correspondentie met betrekking tot problematische </w:t>
            </w:r>
            <w:r w:rsidRPr="00082405">
              <w:rPr>
                <w:rFonts w:cs="Arial"/>
                <w:color w:val="000000" w:themeColor="text1"/>
              </w:rPr>
              <w:lastRenderedPageBreak/>
              <w:t>(financiële)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lastRenderedPageBreak/>
              <w:t>einde dienstverband</w:t>
            </w:r>
          </w:p>
        </w:tc>
        <w:tc>
          <w:tcPr>
            <w:tcW w:w="4536" w:type="dxa"/>
          </w:tcPr>
          <w:p w14:paraId="35D8BB9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6A087A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9 lid 5 Vrijstellingsbesluit Wbp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Correspondentie directie/PZ/direct lei-dinggevende</w:t>
            </w:r>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Identiteitspapieren van derden ingeleende vreemdelingen waarvoor een tewerkstel-lingsvergunning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minimaal 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43199647"/>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toestemming, maximaal 1 jaar met toe-stemming van de sollicitant</w:t>
            </w:r>
          </w:p>
          <w:p w14:paraId="036FF7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6 en art. 7 lid 5 Vrijstellingsbe-sluit Wbp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43199648"/>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Wbp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43199649"/>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14 lid 5 Vrijstellingsbesluit Wbp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43199650"/>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38 lid 6 Vrijstellingsbesluit Wbp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38 lid 6 Vrijstellingsbesluit Wbp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C7AA92" w14:textId="7E6D282C" w:rsidR="009D6D98" w:rsidRPr="001C541F" w:rsidRDefault="00AB26E6" w:rsidP="00AB26E6">
      <w:pPr>
        <w:jc w:val="right"/>
      </w:pPr>
      <w:r w:rsidRPr="00A93134">
        <w:rPr>
          <w:rFonts w:cstheme="minorHAnsi"/>
        </w:rPr>
        <w:t xml:space="preserve">Goedgekeurd op </w:t>
      </w:r>
      <w:r w:rsidRPr="00A93134">
        <w:rPr>
          <w:rFonts w:cstheme="minorHAnsi"/>
          <w:highlight w:val="cyan"/>
        </w:rPr>
        <w:t>(&lt;datum&gt;) door (&lt;…&gt;)</w:t>
      </w:r>
    </w:p>
    <w:sectPr w:rsidR="009D6D98" w:rsidRPr="001C541F" w:rsidSect="003808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62E6" w14:textId="77777777" w:rsidR="00F215D0" w:rsidRDefault="00F215D0" w:rsidP="00952612">
      <w:pPr>
        <w:spacing w:after="0" w:line="240" w:lineRule="auto"/>
      </w:pPr>
      <w:r>
        <w:separator/>
      </w:r>
    </w:p>
  </w:endnote>
  <w:endnote w:type="continuationSeparator" w:id="0">
    <w:p w14:paraId="7DEB736F" w14:textId="77777777" w:rsidR="00F215D0" w:rsidRDefault="00F215D0" w:rsidP="00952612">
      <w:pPr>
        <w:spacing w:after="0" w:line="240" w:lineRule="auto"/>
      </w:pPr>
      <w:r>
        <w:continuationSeparator/>
      </w:r>
    </w:p>
  </w:endnote>
  <w:endnote w:type="continuationNotice" w:id="1">
    <w:p w14:paraId="57930A5C" w14:textId="77777777" w:rsidR="00F215D0" w:rsidRDefault="00F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32C3" w14:textId="77777777" w:rsidR="00F215D0" w:rsidRDefault="00F215D0" w:rsidP="00952612">
      <w:pPr>
        <w:spacing w:after="0" w:line="240" w:lineRule="auto"/>
      </w:pPr>
      <w:r>
        <w:separator/>
      </w:r>
    </w:p>
  </w:footnote>
  <w:footnote w:type="continuationSeparator" w:id="0">
    <w:p w14:paraId="1FDC8AD0" w14:textId="77777777" w:rsidR="00F215D0" w:rsidRDefault="00F215D0" w:rsidP="00952612">
      <w:pPr>
        <w:spacing w:after="0" w:line="240" w:lineRule="auto"/>
      </w:pPr>
      <w:r>
        <w:continuationSeparator/>
      </w:r>
    </w:p>
  </w:footnote>
  <w:footnote w:type="continuationNotice" w:id="1">
    <w:p w14:paraId="49424CE2" w14:textId="77777777" w:rsidR="00F215D0" w:rsidRDefault="00F215D0">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 w:id="7">
    <w:p w14:paraId="69D8DDD7" w14:textId="7EFDE583" w:rsidR="008C170B" w:rsidRDefault="008C170B">
      <w:pPr>
        <w:pStyle w:val="Voetnoottekst"/>
      </w:pPr>
      <w:r>
        <w:rPr>
          <w:rStyle w:val="Voetnootmarkering"/>
        </w:rPr>
        <w:footnoteRef/>
      </w:r>
      <w:r>
        <w:t xml:space="preserve"> In artikel 11 van de Wet register onderwijsdeelnemers wordt aangegeven dat ook gegevens over gezondheid deel uit kunnen maken van de basisgegevens.</w:t>
      </w:r>
      <w:r w:rsidR="00D3378C">
        <w:t xml:space="preserve"> Indien dit het geval is, geldt er een bewaartermijn van maximaal 5 jaar.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2"/>
  </w:num>
  <w:num w:numId="9">
    <w:abstractNumId w:val="7"/>
  </w:num>
  <w:num w:numId="10">
    <w:abstractNumId w:val="9"/>
  </w:num>
  <w:num w:numId="11">
    <w:abstractNumId w:val="5"/>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31EBB"/>
    <w:rsid w:val="00040749"/>
    <w:rsid w:val="0004185C"/>
    <w:rsid w:val="0006472D"/>
    <w:rsid w:val="00071E95"/>
    <w:rsid w:val="000B7122"/>
    <w:rsid w:val="000E16F3"/>
    <w:rsid w:val="00173E56"/>
    <w:rsid w:val="00184E48"/>
    <w:rsid w:val="001C4909"/>
    <w:rsid w:val="001C541F"/>
    <w:rsid w:val="0021052A"/>
    <w:rsid w:val="00234079"/>
    <w:rsid w:val="00245391"/>
    <w:rsid w:val="0025065E"/>
    <w:rsid w:val="0027622C"/>
    <w:rsid w:val="002E13DC"/>
    <w:rsid w:val="003808E7"/>
    <w:rsid w:val="00383818"/>
    <w:rsid w:val="00385DEA"/>
    <w:rsid w:val="003937D4"/>
    <w:rsid w:val="003D4B4A"/>
    <w:rsid w:val="004250D2"/>
    <w:rsid w:val="004365F9"/>
    <w:rsid w:val="004638D5"/>
    <w:rsid w:val="004649CB"/>
    <w:rsid w:val="00486DB5"/>
    <w:rsid w:val="004A3EA7"/>
    <w:rsid w:val="004B0FB2"/>
    <w:rsid w:val="004E6180"/>
    <w:rsid w:val="00525017"/>
    <w:rsid w:val="00595653"/>
    <w:rsid w:val="005A0450"/>
    <w:rsid w:val="005E3F64"/>
    <w:rsid w:val="005E4DB2"/>
    <w:rsid w:val="005F37AE"/>
    <w:rsid w:val="006105B0"/>
    <w:rsid w:val="00615D44"/>
    <w:rsid w:val="00616FBA"/>
    <w:rsid w:val="006346E6"/>
    <w:rsid w:val="00651555"/>
    <w:rsid w:val="006674EB"/>
    <w:rsid w:val="006A7CD7"/>
    <w:rsid w:val="006A7FCD"/>
    <w:rsid w:val="006B6266"/>
    <w:rsid w:val="006C191A"/>
    <w:rsid w:val="006C5538"/>
    <w:rsid w:val="006D0AF7"/>
    <w:rsid w:val="006E1183"/>
    <w:rsid w:val="00706004"/>
    <w:rsid w:val="007221AE"/>
    <w:rsid w:val="00753C63"/>
    <w:rsid w:val="00767673"/>
    <w:rsid w:val="007719B3"/>
    <w:rsid w:val="0077246F"/>
    <w:rsid w:val="007770D1"/>
    <w:rsid w:val="0078163B"/>
    <w:rsid w:val="00793B26"/>
    <w:rsid w:val="00800977"/>
    <w:rsid w:val="0080235D"/>
    <w:rsid w:val="0084119A"/>
    <w:rsid w:val="00845A23"/>
    <w:rsid w:val="00861C3F"/>
    <w:rsid w:val="0087790B"/>
    <w:rsid w:val="00884E89"/>
    <w:rsid w:val="008949CB"/>
    <w:rsid w:val="008C079D"/>
    <w:rsid w:val="008C170B"/>
    <w:rsid w:val="008D02AB"/>
    <w:rsid w:val="008F2A8B"/>
    <w:rsid w:val="008F2F81"/>
    <w:rsid w:val="008F5AC5"/>
    <w:rsid w:val="00903B98"/>
    <w:rsid w:val="00924134"/>
    <w:rsid w:val="00931246"/>
    <w:rsid w:val="00950D58"/>
    <w:rsid w:val="00952612"/>
    <w:rsid w:val="00956374"/>
    <w:rsid w:val="00971574"/>
    <w:rsid w:val="009B38BE"/>
    <w:rsid w:val="009C5521"/>
    <w:rsid w:val="009D0534"/>
    <w:rsid w:val="009D6D98"/>
    <w:rsid w:val="009F1480"/>
    <w:rsid w:val="00A05409"/>
    <w:rsid w:val="00A1381F"/>
    <w:rsid w:val="00A574E4"/>
    <w:rsid w:val="00A65B31"/>
    <w:rsid w:val="00A6732F"/>
    <w:rsid w:val="00A86640"/>
    <w:rsid w:val="00A962A5"/>
    <w:rsid w:val="00AB26E6"/>
    <w:rsid w:val="00AB428D"/>
    <w:rsid w:val="00AD12F9"/>
    <w:rsid w:val="00AD1642"/>
    <w:rsid w:val="00AF000F"/>
    <w:rsid w:val="00B023F2"/>
    <w:rsid w:val="00B23355"/>
    <w:rsid w:val="00B46983"/>
    <w:rsid w:val="00B572CC"/>
    <w:rsid w:val="00BD482A"/>
    <w:rsid w:val="00BD7153"/>
    <w:rsid w:val="00BE0B10"/>
    <w:rsid w:val="00BE7B13"/>
    <w:rsid w:val="00BF0AB5"/>
    <w:rsid w:val="00BF2B5D"/>
    <w:rsid w:val="00C87D84"/>
    <w:rsid w:val="00CB65F0"/>
    <w:rsid w:val="00CC0330"/>
    <w:rsid w:val="00CD72B6"/>
    <w:rsid w:val="00D015E2"/>
    <w:rsid w:val="00D3378C"/>
    <w:rsid w:val="00DA54DD"/>
    <w:rsid w:val="00DC0355"/>
    <w:rsid w:val="00DD7C1C"/>
    <w:rsid w:val="00E131D8"/>
    <w:rsid w:val="00E37805"/>
    <w:rsid w:val="00E46FC0"/>
    <w:rsid w:val="00E557CC"/>
    <w:rsid w:val="00E55BF1"/>
    <w:rsid w:val="00E864DE"/>
    <w:rsid w:val="00E90C47"/>
    <w:rsid w:val="00E943C8"/>
    <w:rsid w:val="00E97921"/>
    <w:rsid w:val="00F215D0"/>
    <w:rsid w:val="00F52B48"/>
    <w:rsid w:val="00F57175"/>
    <w:rsid w:val="00F62E83"/>
    <w:rsid w:val="00F95E87"/>
    <w:rsid w:val="00FA3194"/>
    <w:rsid w:val="00FC366C"/>
    <w:rsid w:val="00FD733E"/>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C9FE1-4C20-49BB-9EFF-1CDF4410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customXml/itemProps3.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4.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28</Pages>
  <Words>8285</Words>
  <Characters>45568</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53746</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 Lumen Group</dc:creator>
  <cp:keywords/>
  <dc:description/>
  <cp:lastModifiedBy>Enna Lujinovic</cp:lastModifiedBy>
  <cp:revision>94</cp:revision>
  <dcterms:created xsi:type="dcterms:W3CDTF">2020-06-08T12:50:00Z</dcterms:created>
  <dcterms:modified xsi:type="dcterms:W3CDTF">2021-01-26T08:33:00Z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